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8F5" w:rsidRPr="005438F5" w:rsidRDefault="005438F5" w:rsidP="005438F5">
      <w:pPr>
        <w:spacing w:line="288" w:lineRule="auto"/>
        <w:ind w:firstLineChars="200" w:firstLine="723"/>
        <w:jc w:val="center"/>
        <w:outlineLvl w:val="0"/>
        <w:rPr>
          <w:rFonts w:ascii="仿宋_GB2312" w:eastAsia="仿宋_GB2312" w:hAnsi="仿宋" w:cs="Vijaya"/>
          <w:b/>
          <w:sz w:val="36"/>
          <w:szCs w:val="36"/>
        </w:rPr>
      </w:pPr>
      <w:r w:rsidRPr="005438F5">
        <w:rPr>
          <w:rFonts w:ascii="仿宋_GB2312" w:eastAsia="仿宋_GB2312" w:hAnsi="仿宋" w:cs="Vijaya" w:hint="eastAsia"/>
          <w:b/>
          <w:sz w:val="36"/>
          <w:szCs w:val="36"/>
        </w:rPr>
        <w:t>2018年湛江市国土资源局“三公”</w:t>
      </w:r>
    </w:p>
    <w:p w:rsidR="005438F5" w:rsidRPr="005438F5" w:rsidRDefault="005438F5" w:rsidP="005438F5">
      <w:pPr>
        <w:spacing w:line="288" w:lineRule="auto"/>
        <w:ind w:firstLineChars="200" w:firstLine="723"/>
        <w:jc w:val="center"/>
        <w:outlineLvl w:val="0"/>
        <w:rPr>
          <w:rFonts w:ascii="仿宋_GB2312" w:eastAsia="仿宋_GB2312" w:hAnsi="仿宋" w:cs="Vijaya" w:hint="eastAsia"/>
          <w:b/>
          <w:sz w:val="36"/>
          <w:szCs w:val="36"/>
        </w:rPr>
      </w:pPr>
      <w:r w:rsidRPr="005438F5">
        <w:rPr>
          <w:rFonts w:ascii="仿宋_GB2312" w:eastAsia="仿宋_GB2312" w:hAnsi="仿宋" w:cs="Vijaya" w:hint="eastAsia"/>
          <w:b/>
          <w:sz w:val="36"/>
          <w:szCs w:val="36"/>
        </w:rPr>
        <w:t>经费</w:t>
      </w:r>
      <w:r>
        <w:rPr>
          <w:rFonts w:ascii="仿宋_GB2312" w:eastAsia="仿宋_GB2312" w:hAnsi="仿宋" w:cs="Vijaya" w:hint="eastAsia"/>
          <w:b/>
          <w:sz w:val="36"/>
          <w:szCs w:val="36"/>
        </w:rPr>
        <w:t>预算</w:t>
      </w:r>
      <w:r w:rsidRPr="005438F5">
        <w:rPr>
          <w:rFonts w:ascii="仿宋_GB2312" w:eastAsia="仿宋_GB2312" w:hAnsi="仿宋" w:cs="Vijaya" w:hint="eastAsia"/>
          <w:b/>
          <w:sz w:val="36"/>
          <w:szCs w:val="36"/>
        </w:rPr>
        <w:t>增减原因说明</w:t>
      </w:r>
    </w:p>
    <w:p w:rsidR="005438F5" w:rsidRDefault="005438F5" w:rsidP="005438F5">
      <w:pPr>
        <w:spacing w:line="288" w:lineRule="auto"/>
        <w:ind w:firstLineChars="200" w:firstLine="640"/>
        <w:outlineLvl w:val="0"/>
        <w:rPr>
          <w:rFonts w:ascii="仿宋_GB2312" w:eastAsia="仿宋_GB2312" w:hAnsi="仿宋" w:cs="Vijaya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 </w:t>
      </w:r>
    </w:p>
    <w:p w:rsidR="005438F5" w:rsidRDefault="005438F5" w:rsidP="005438F5">
      <w:pPr>
        <w:spacing w:line="288" w:lineRule="auto"/>
        <w:ind w:firstLineChars="200" w:firstLine="640"/>
        <w:outlineLvl w:val="0"/>
        <w:rPr>
          <w:rFonts w:ascii="仿宋_GB2312" w:eastAsia="仿宋_GB2312" w:hAnsi="仿宋" w:cs="Vijaya" w:hint="eastAsia"/>
          <w:sz w:val="32"/>
          <w:szCs w:val="32"/>
        </w:rPr>
      </w:pPr>
      <w:r>
        <w:rPr>
          <w:rFonts w:ascii="仿宋_GB2312" w:eastAsia="仿宋_GB2312" w:hAnsi="仿宋" w:cs="Vijaya" w:hint="eastAsia"/>
          <w:sz w:val="32"/>
          <w:szCs w:val="32"/>
        </w:rPr>
        <w:t>“三公”经费包括因公出国（境）费、公务用车购置及运行维护费和公务接待费。2018年市国土资源局财政拨款“三公”经费支出合计</w:t>
      </w:r>
      <w:r>
        <w:rPr>
          <w:rFonts w:ascii="仿宋" w:eastAsia="仿宋" w:hAnsi="仿宋" w:hint="eastAsia"/>
          <w:sz w:val="32"/>
          <w:szCs w:val="32"/>
        </w:rPr>
        <w:t>86.22万元，比2017年减少52.08万元，减少37.66%。</w:t>
      </w:r>
      <w:r>
        <w:rPr>
          <w:rFonts w:ascii="仿宋_GB2312" w:eastAsia="仿宋_GB2312" w:hAnsi="仿宋" w:cs="Vijaya" w:hint="eastAsia"/>
          <w:sz w:val="32"/>
          <w:szCs w:val="32"/>
        </w:rPr>
        <w:t>其中：因公出国（境）费0万元，占0%；根据公车改革方案，2018年无公务用车购置计划，公务用车运行维护费74.22万元，占86.08%，费用与上年相比减少58.18万元，主要原因是</w:t>
      </w:r>
      <w:r w:rsidR="00783483">
        <w:rPr>
          <w:rFonts w:ascii="仿宋_GB2312" w:eastAsia="仿宋_GB2312" w:hAnsi="仿宋" w:cs="Vijaya" w:hint="eastAsia"/>
          <w:sz w:val="32"/>
          <w:szCs w:val="32"/>
        </w:rPr>
        <w:t>公车改革后</w:t>
      </w:r>
      <w:r>
        <w:rPr>
          <w:rFonts w:ascii="仿宋_GB2312" w:eastAsia="仿宋_GB2312" w:hAnsi="仿宋" w:cs="Vijaya" w:hint="eastAsia"/>
          <w:sz w:val="32"/>
          <w:szCs w:val="32"/>
        </w:rPr>
        <w:t>公务用车运行保有量减少，支付公务用车购买保险、维修维护等方面支出有所减少；只是随着车龄增加，</w:t>
      </w:r>
      <w:r w:rsidR="00783483">
        <w:rPr>
          <w:rFonts w:ascii="仿宋_GB2312" w:eastAsia="仿宋_GB2312" w:hAnsi="仿宋" w:cs="Vijaya" w:hint="eastAsia"/>
          <w:sz w:val="32"/>
          <w:szCs w:val="32"/>
        </w:rPr>
        <w:t>每台</w:t>
      </w:r>
      <w:r>
        <w:rPr>
          <w:rFonts w:ascii="仿宋_GB2312" w:eastAsia="仿宋_GB2312" w:hAnsi="仿宋" w:cs="Vijaya" w:hint="eastAsia"/>
          <w:sz w:val="32"/>
          <w:szCs w:val="32"/>
        </w:rPr>
        <w:t>车用油、购买保险、维修维护等方面支出有所增加，计划通过加强车辆管理降低运维费用；公务接待费12万元，占13.92%，费用预算与上年相比增加6.1万元，主要原因是2018年各项检查公务接待活动增加，本单位严格执行中央“八项规定”，严控公务接待开支，正常公务接待活动的费用支出基本趋于平稳。</w:t>
      </w:r>
    </w:p>
    <w:p w:rsidR="006D0FAA" w:rsidRPr="005438F5" w:rsidRDefault="006D0FAA"/>
    <w:sectPr w:rsidR="006D0FAA" w:rsidRPr="005438F5" w:rsidSect="006D0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38F5"/>
    <w:rsid w:val="00284358"/>
    <w:rsid w:val="005438F5"/>
    <w:rsid w:val="005D109E"/>
    <w:rsid w:val="006D0FAA"/>
    <w:rsid w:val="00783483"/>
    <w:rsid w:val="00810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F5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1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61</Words>
  <Characters>352</Characters>
  <Application>Microsoft Office Word</Application>
  <DocSecurity>0</DocSecurity>
  <Lines>2</Lines>
  <Paragraphs>1</Paragraphs>
  <ScaleCrop>false</ScaleCrop>
  <Company>china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尤妙英</dc:creator>
  <cp:lastModifiedBy>尤妙英</cp:lastModifiedBy>
  <cp:revision>1</cp:revision>
  <dcterms:created xsi:type="dcterms:W3CDTF">2018-02-11T07:01:00Z</dcterms:created>
  <dcterms:modified xsi:type="dcterms:W3CDTF">2018-02-11T07:13:00Z</dcterms:modified>
</cp:coreProperties>
</file>