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spacing w:line="700" w:lineRule="exact"/>
        <w:ind w:firstLine="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湛江市高新技术产业培育计划(202</w:t>
      </w:r>
      <w:r>
        <w:rPr>
          <w:rFonts w:hint="eastAsia" w:ascii="方正小标宋简体" w:hAnsi="方正小标宋简体" w:eastAsia="方正小标宋简体" w:cs="方正小标宋简体"/>
          <w:b w:val="0"/>
          <w:bCs w:val="0"/>
          <w:sz w:val="44"/>
          <w:szCs w:val="44"/>
          <w:lang w:val="en-US" w:eastAsia="zh-CN"/>
        </w:rPr>
        <w:t>3</w:t>
      </w:r>
      <w:r>
        <w:rPr>
          <w:rFonts w:hint="eastAsia" w:ascii="方正小标宋简体" w:hAnsi="方正小标宋简体" w:eastAsia="方正小标宋简体" w:cs="方正小标宋简体"/>
          <w:b w:val="0"/>
          <w:bCs w:val="0"/>
          <w:sz w:val="44"/>
          <w:szCs w:val="44"/>
        </w:rPr>
        <w:t>—</w:t>
      </w:r>
    </w:p>
    <w:p>
      <w:pPr>
        <w:snapToGrid/>
        <w:spacing w:line="700" w:lineRule="exact"/>
        <w:ind w:firstLine="0"/>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rPr>
        <w:t>2025年)</w:t>
      </w:r>
      <w:r>
        <w:rPr>
          <w:rFonts w:hint="eastAsia" w:ascii="方正小标宋简体" w:hAnsi="方正小标宋简体" w:eastAsia="方正小标宋简体" w:cs="方正小标宋简体"/>
          <w:b w:val="0"/>
          <w:bCs w:val="0"/>
          <w:sz w:val="44"/>
          <w:szCs w:val="44"/>
          <w:lang w:val="en-US" w:eastAsia="zh-CN"/>
        </w:rPr>
        <w:t xml:space="preserve"> (征求意见稿)</w:t>
      </w:r>
    </w:p>
    <w:p>
      <w:pPr>
        <w:snapToGrid/>
        <w:spacing w:line="360" w:lineRule="auto"/>
        <w:ind w:firstLine="0"/>
        <w:rPr>
          <w:rFonts w:ascii="仿宋_GB2312"/>
        </w:rPr>
      </w:pPr>
    </w:p>
    <w:p>
      <w:pPr>
        <w:snapToGrid/>
        <w:spacing w:line="240" w:lineRule="auto"/>
        <w:rPr>
          <w:rFonts w:ascii="仿宋_GB2312" w:cs="仿宋_GB2312"/>
        </w:rPr>
      </w:pPr>
      <w:r>
        <w:rPr>
          <w:rFonts w:hint="eastAsia" w:ascii="仿宋_GB2312" w:cs="仿宋_GB2312"/>
        </w:rPr>
        <w:t>为深入实施创新驱动发展战略，发展壮大高新技术产业，进一步引导及支持企业技术创新，加快建设创新引领、经济质量效益高、核心竞争力强的现代高新技术产业体系，根据《关于进一步促进科技创新推动高质量发展的若干政策措施》（湛府〔20</w:t>
      </w:r>
      <w:r>
        <w:rPr>
          <w:rFonts w:ascii="仿宋_GB2312" w:cs="仿宋_GB2312"/>
        </w:rPr>
        <w:t>22</w:t>
      </w:r>
      <w:r>
        <w:rPr>
          <w:rFonts w:hint="eastAsia" w:ascii="仿宋_GB2312" w:cs="仿宋_GB2312"/>
        </w:rPr>
        <w:t>〕6号），特制订本计划。</w:t>
      </w:r>
    </w:p>
    <w:p>
      <w:pPr>
        <w:snapToGrid/>
        <w:spacing w:line="240" w:lineRule="auto"/>
        <w:rPr>
          <w:rFonts w:ascii="仿宋_GB2312"/>
        </w:rPr>
      </w:pPr>
      <w:r>
        <w:rPr>
          <w:rFonts w:hint="eastAsia" w:ascii="黑体" w:hAnsi="黑体" w:eastAsia="黑体" w:cs="黑体"/>
        </w:rPr>
        <w:t>一、主要目标</w:t>
      </w:r>
    </w:p>
    <w:p>
      <w:pPr>
        <w:snapToGrid/>
        <w:spacing w:line="240" w:lineRule="auto"/>
        <w:rPr>
          <w:rFonts w:ascii="仿宋_GB2312" w:cs="仿宋_GB2312"/>
        </w:rPr>
      </w:pPr>
      <w:r>
        <w:rPr>
          <w:rFonts w:hint="eastAsia" w:ascii="仿宋_GB2312" w:cs="仿宋_GB2312"/>
        </w:rPr>
        <w:t>进一步优化高新技术产业发展政策，发挥科技创新引领作用，提高产业创新链、产业链、供应链现代化水平，促进创新创业要素集聚和产业现代化水平提升。</w:t>
      </w:r>
    </w:p>
    <w:p>
      <w:pPr>
        <w:rPr>
          <w:b/>
          <w:bCs/>
        </w:rPr>
      </w:pPr>
      <w:r>
        <w:rPr>
          <w:rFonts w:hint="eastAsia"/>
          <w:b/>
          <w:bCs/>
        </w:rPr>
        <w:t>——产业发展目标。</w:t>
      </w:r>
      <w:r>
        <w:rPr>
          <w:rFonts w:hint="eastAsia"/>
        </w:rPr>
        <w:t>力争到2</w:t>
      </w:r>
      <w:r>
        <w:t>025</w:t>
      </w:r>
      <w:r>
        <w:rPr>
          <w:rFonts w:hint="eastAsia"/>
        </w:rPr>
        <w:t>年，全市高新技术产业对经济增长的贡献率显著增强，对产业升级、节能减排、增加就业等带动作用明显提高。全市高新技术企业达到</w:t>
      </w:r>
      <w:r>
        <w:rPr>
          <w:rFonts w:hint="eastAsia"/>
          <w:lang w:val="en-US" w:eastAsia="zh-CN"/>
        </w:rPr>
        <w:t>7</w:t>
      </w:r>
      <w:r>
        <w:t>00</w:t>
      </w:r>
      <w:r>
        <w:rPr>
          <w:rFonts w:hint="eastAsia"/>
        </w:rPr>
        <w:t>家以上，产值超</w:t>
      </w:r>
      <w:r>
        <w:rPr>
          <w:rFonts w:hint="eastAsia"/>
          <w:lang w:val="en-US" w:eastAsia="zh-CN"/>
        </w:rPr>
        <w:t>8</w:t>
      </w:r>
      <w:r>
        <w:t>00</w:t>
      </w:r>
      <w:r>
        <w:rPr>
          <w:rFonts w:hint="eastAsia"/>
        </w:rPr>
        <w:t>亿。</w:t>
      </w:r>
    </w:p>
    <w:p>
      <w:r>
        <w:rPr>
          <w:rFonts w:hint="eastAsia"/>
          <w:b/>
          <w:bCs/>
        </w:rPr>
        <w:t>——创新发展目标。</w:t>
      </w:r>
      <w:r>
        <w:rPr>
          <w:rFonts w:hint="eastAsia"/>
        </w:rPr>
        <w:t>加大技术创新投入，突破一批具有知识产权的关键技术</w:t>
      </w:r>
      <w:r>
        <w:rPr>
          <w:rFonts w:hint="eastAsia"/>
          <w:lang w:eastAsia="zh-CN"/>
        </w:rPr>
        <w:t>。</w:t>
      </w:r>
      <w:r>
        <w:rPr>
          <w:rFonts w:hint="eastAsia"/>
        </w:rPr>
        <w:t>国家知识产权优势企业和省知识产权示范企业数量、自主创新能力和产业技术水平显著提升，高新技术的转化和规模化应用能力进一步提升。</w:t>
      </w:r>
    </w:p>
    <w:p>
      <w:pPr>
        <w:rPr>
          <w:b/>
          <w:bCs/>
        </w:rPr>
      </w:pPr>
      <w:r>
        <w:rPr>
          <w:rFonts w:hint="eastAsia"/>
          <w:b/>
          <w:bCs/>
        </w:rPr>
        <w:t>——共享发展目标。</w:t>
      </w:r>
      <w:r>
        <w:rPr>
          <w:rFonts w:hint="eastAsia" w:ascii="仿宋_GB2312" w:cs="仿宋_GB2312"/>
        </w:rPr>
        <w:t>力争到2</w:t>
      </w:r>
      <w:r>
        <w:rPr>
          <w:rFonts w:ascii="仿宋_GB2312" w:cs="仿宋_GB2312"/>
        </w:rPr>
        <w:t>025</w:t>
      </w:r>
      <w:r>
        <w:rPr>
          <w:rFonts w:hint="eastAsia" w:ascii="仿宋_GB2312" w:cs="仿宋_GB2312"/>
        </w:rPr>
        <w:t>年，我市集聚一批特色鲜明、竞争力强、知名度高、创新能力显著，促进我市高新技术产业树标提质的优质企业，不断做大做强我市高新技术产业，行业就业范围进一步扩大，吸纳就业能力进步一步提升。</w:t>
      </w:r>
    </w:p>
    <w:p>
      <w:pPr>
        <w:snapToGrid/>
        <w:spacing w:line="240" w:lineRule="auto"/>
        <w:ind w:firstLine="791" w:firstLineChars="233"/>
        <w:rPr>
          <w:rFonts w:hint="eastAsia"/>
        </w:rPr>
      </w:pPr>
      <w:r>
        <w:rPr>
          <w:rFonts w:hint="eastAsia"/>
          <w:b/>
          <w:bCs/>
        </w:rPr>
        <w:t>——改革发展目标。</w:t>
      </w:r>
      <w:r>
        <w:rPr>
          <w:rFonts w:hint="eastAsia"/>
        </w:rPr>
        <w:t>设立促进新兴产业发展的专项资金，确保各个产业最低资金使用额，压减行政审批事项幅度，鼓励和推动一定数量的企业在资本市场上市融资。</w:t>
      </w:r>
    </w:p>
    <w:p>
      <w:pPr>
        <w:snapToGrid/>
        <w:spacing w:line="240" w:lineRule="auto"/>
        <w:ind w:firstLine="791" w:firstLineChars="233"/>
        <w:rPr>
          <w:rFonts w:ascii="黑体" w:hAnsi="黑体" w:eastAsia="黑体"/>
        </w:rPr>
      </w:pPr>
      <w:r>
        <w:rPr>
          <w:rFonts w:hint="eastAsia" w:ascii="黑体" w:hAnsi="黑体" w:eastAsia="黑体" w:cs="黑体"/>
        </w:rPr>
        <w:t>二、重点工作</w:t>
      </w:r>
    </w:p>
    <w:p>
      <w:pPr>
        <w:snapToGrid/>
        <w:spacing w:line="240" w:lineRule="auto"/>
        <w:ind w:firstLine="663" w:firstLineChars="195"/>
        <w:rPr>
          <w:rFonts w:ascii="楷体_GB2312" w:hAnsi="楷体" w:eastAsia="楷体_GB2312"/>
        </w:rPr>
      </w:pPr>
      <w:r>
        <w:rPr>
          <w:rFonts w:hint="eastAsia" w:ascii="楷体_GB2312" w:hAnsi="楷体" w:eastAsia="楷体_GB2312" w:cs="楷体_GB2312"/>
        </w:rPr>
        <w:t>（一）发展现代产业体系</w:t>
      </w:r>
    </w:p>
    <w:p>
      <w:pPr>
        <w:snapToGrid/>
        <w:spacing w:line="240" w:lineRule="auto"/>
        <w:ind w:firstLine="663" w:firstLineChars="195"/>
        <w:rPr>
          <w:rFonts w:ascii="仿宋_GB2312" w:hAnsi="Calibri" w:cs="仿宋_GB2312"/>
        </w:rPr>
      </w:pPr>
      <w:r>
        <w:rPr>
          <w:rFonts w:ascii="仿宋_GB2312" w:hAnsi="Calibri" w:cs="仿宋_GB2312"/>
        </w:rPr>
        <w:t>1.</w:t>
      </w:r>
      <w:r>
        <w:rPr>
          <w:rFonts w:hint="eastAsia" w:ascii="仿宋_GB2312" w:hAnsi="Calibri" w:cs="仿宋_GB2312"/>
        </w:rPr>
        <w:t>推进 “双十”产业质量变革。促进5G在各行业领域的融合应用创新，推动互联网、大数据、人工智能与产业深度融合，打造战略性新兴产业集群，形成重点突出、优势明显、定位明确的高新技术产业集群发展格局。【</w:t>
      </w:r>
      <w:r>
        <w:rPr>
          <w:rFonts w:hint="eastAsia" w:ascii="黑体" w:hAnsi="Calibri" w:eastAsia="黑体" w:cs="黑体"/>
        </w:rPr>
        <w:t>牵头单位：市发改局，责任单位：</w:t>
      </w:r>
      <w:r>
        <w:rPr>
          <w:rFonts w:hint="eastAsia" w:ascii="黑体" w:eastAsia="黑体" w:cs="黑体"/>
        </w:rPr>
        <w:t>各县（市、区）政府（管委会）、</w:t>
      </w:r>
      <w:r>
        <w:rPr>
          <w:rFonts w:hint="eastAsia" w:ascii="黑体" w:hAnsi="Calibri" w:eastAsia="黑体" w:cs="黑体"/>
        </w:rPr>
        <w:t>市工信局、市自然资源局、市科技局</w:t>
      </w:r>
      <w:r>
        <w:rPr>
          <w:rFonts w:hint="eastAsia" w:ascii="仿宋_GB2312" w:hAnsi="Calibri" w:cs="仿宋_GB2312"/>
        </w:rPr>
        <w:t>】</w:t>
      </w:r>
    </w:p>
    <w:p>
      <w:pPr>
        <w:snapToGrid/>
        <w:spacing w:line="240" w:lineRule="auto"/>
        <w:ind w:firstLine="663" w:firstLineChars="195"/>
        <w:rPr>
          <w:rFonts w:ascii="仿宋_GB2312" w:hAnsi="Calibri" w:cs="仿宋_GB2312"/>
        </w:rPr>
      </w:pPr>
      <w:r>
        <w:rPr>
          <w:rFonts w:ascii="仿宋_GB2312" w:hAnsi="Calibri" w:cs="仿宋_GB2312"/>
        </w:rPr>
        <w:t>2.</w:t>
      </w:r>
      <w:r>
        <w:rPr>
          <w:rFonts w:hint="eastAsia" w:ascii="仿宋_GB2312" w:hAnsi="Calibri" w:cs="仿宋_GB2312"/>
        </w:rPr>
        <w:t>实施重大工业项目达产增效计划。</w:t>
      </w:r>
      <w:r>
        <w:rPr>
          <w:rFonts w:hint="eastAsia" w:ascii="仿宋" w:hAnsi="仿宋" w:eastAsia="仿宋"/>
          <w:color w:val="333333"/>
        </w:rPr>
        <w:t>围绕产业链布局创新链，依托创新链做强产业链，</w:t>
      </w:r>
      <w:r>
        <w:rPr>
          <w:rFonts w:hint="eastAsia" w:ascii="仿宋_GB2312" w:hAnsi="Calibri" w:cs="仿宋_GB2312"/>
        </w:rPr>
        <w:t>打造千亿级石化产业、五百亿级钢铁产业和一批百亿级产业集群，建设世界级绿色高端沿海临港产业基地。【</w:t>
      </w:r>
      <w:r>
        <w:rPr>
          <w:rFonts w:hint="eastAsia" w:ascii="黑体" w:hAnsi="Calibri" w:eastAsia="黑体" w:cs="黑体"/>
        </w:rPr>
        <w:t>牵头单位：市工信局，责任单位：湛江</w:t>
      </w:r>
      <w:r>
        <w:rPr>
          <w:rFonts w:hint="eastAsia" w:ascii="黑体" w:hAnsi="Calibri" w:eastAsia="黑体" w:cs="黑体"/>
          <w:lang w:eastAsia="zh-CN"/>
        </w:rPr>
        <w:t>经</w:t>
      </w:r>
      <w:r>
        <w:rPr>
          <w:rFonts w:hint="eastAsia" w:ascii="黑体" w:hAnsi="Calibri" w:eastAsia="黑体" w:cs="黑体"/>
        </w:rPr>
        <w:t>开区管委会、麻章区政府、市科技局</w:t>
      </w:r>
      <w:r>
        <w:rPr>
          <w:rFonts w:hint="eastAsia" w:ascii="仿宋_GB2312" w:hAnsi="Calibri" w:cs="仿宋_GB2312"/>
        </w:rPr>
        <w:t>】</w:t>
      </w:r>
    </w:p>
    <w:p>
      <w:pPr>
        <w:snapToGrid/>
        <w:spacing w:line="240" w:lineRule="auto"/>
        <w:ind w:firstLine="663" w:firstLineChars="195"/>
        <w:rPr>
          <w:rFonts w:ascii="楷体_GB2312" w:hAnsi="楷体" w:eastAsia="楷体_GB2312"/>
        </w:rPr>
      </w:pPr>
      <w:r>
        <w:rPr>
          <w:rFonts w:hint="eastAsia" w:ascii="楷体_GB2312" w:hAnsi="楷体" w:eastAsia="楷体_GB2312" w:cs="楷体_GB2312"/>
        </w:rPr>
        <w:t>（二）推动传统产业转型升级</w:t>
      </w:r>
    </w:p>
    <w:p>
      <w:pPr>
        <w:snapToGrid/>
        <w:spacing w:line="240" w:lineRule="auto"/>
        <w:ind w:firstLine="663" w:firstLineChars="195"/>
        <w:rPr>
          <w:rFonts w:ascii="仿宋_GB2312" w:hAnsi="Calibri" w:cs="仿宋_GB2312"/>
        </w:rPr>
      </w:pPr>
      <w:r>
        <w:rPr>
          <w:rFonts w:ascii="仿宋_GB2312" w:cs="仿宋_GB2312"/>
        </w:rPr>
        <w:t>3.</w:t>
      </w:r>
      <w:r>
        <w:rPr>
          <w:rFonts w:hint="eastAsia" w:ascii="仿宋_GB2312" w:cs="仿宋_GB2312"/>
        </w:rPr>
        <w:t>实施传统产业转型升级计划。积极响应小家电产业集群协同创新模式，建设粤西省级小家电智能制造区域创新中心，发展智能家电产业。鼓励行业龙头企业、品牌企业兼并重组，通过横向联合、纵向整合做优做强。引导中小企业走“专精特新”的发展道路，持续提升技术创新能力和生产工艺水平，培育一批“单项冠军”和“小巨人”企业。</w:t>
      </w:r>
      <w:r>
        <w:rPr>
          <w:rFonts w:hint="eastAsia" w:ascii="仿宋_GB2312" w:hAnsi="Calibri" w:cs="仿宋_GB2312"/>
        </w:rPr>
        <w:t>【</w:t>
      </w:r>
      <w:r>
        <w:rPr>
          <w:rFonts w:hint="eastAsia" w:ascii="黑体" w:hAnsi="Calibri" w:eastAsia="黑体" w:cs="黑体"/>
        </w:rPr>
        <w:t>牵头单位：市工信局，责任单位：各县（市、区）政府（管委会）、市发改局、市科技局、市自然资源局、市农业农村局</w:t>
      </w:r>
      <w:r>
        <w:rPr>
          <w:rFonts w:hint="eastAsia" w:ascii="仿宋_GB2312" w:hAnsi="Calibri" w:cs="仿宋_GB2312"/>
        </w:rPr>
        <w:t>】</w:t>
      </w:r>
    </w:p>
    <w:p>
      <w:pPr>
        <w:snapToGrid/>
        <w:spacing w:line="240" w:lineRule="auto"/>
        <w:ind w:firstLine="663" w:firstLineChars="195"/>
        <w:rPr>
          <w:rFonts w:ascii="楷体_GB2312" w:eastAsia="楷体_GB2312"/>
          <w:b/>
          <w:bCs/>
        </w:rPr>
      </w:pPr>
      <w:r>
        <w:rPr>
          <w:rFonts w:ascii="仿宋_GB2312" w:cs="仿宋_GB2312"/>
        </w:rPr>
        <w:t>4.</w:t>
      </w:r>
      <w:r>
        <w:rPr>
          <w:rFonts w:hint="eastAsia" w:ascii="仿宋_GB2312" w:cs="仿宋_GB2312"/>
        </w:rPr>
        <w:t>推进特色农业发展壮大。加快湛江对虾、牡蛎、金鲳鱼、火龙果、菠萝等特色农产品精深加工和综合利用。发展和建设规模化、专业化、标准化的特色优势农业生产基地，支持农业企业建设国家、省现代农业创新中心，加快农业高新技术企业发展速度，到2025年，涉农高新技术企业发展到100家以上。【</w:t>
      </w:r>
      <w:r>
        <w:rPr>
          <w:rFonts w:hint="eastAsia" w:ascii="黑体" w:hAnsi="Calibri" w:eastAsia="黑体" w:cs="黑体"/>
        </w:rPr>
        <w:t>牵头单位：市农业农村局，责任单位：各县（市、区）政府（管委会）、市科技局、市自然资源局</w:t>
      </w:r>
      <w:r>
        <w:rPr>
          <w:rFonts w:hint="eastAsia" w:ascii="仿宋_GB2312" w:cs="仿宋_GB2312"/>
        </w:rPr>
        <w:t>】</w:t>
      </w:r>
    </w:p>
    <w:p>
      <w:pPr>
        <w:snapToGrid/>
        <w:spacing w:line="240" w:lineRule="auto"/>
        <w:ind w:firstLine="663" w:firstLineChars="195"/>
        <w:rPr>
          <w:rFonts w:ascii="楷体_GB2312" w:hAnsi="楷体" w:eastAsia="楷体_GB2312"/>
        </w:rPr>
      </w:pPr>
      <w:r>
        <w:rPr>
          <w:rFonts w:hint="eastAsia" w:ascii="楷体_GB2312" w:hAnsi="楷体" w:eastAsia="楷体_GB2312" w:cs="楷体_GB2312"/>
        </w:rPr>
        <w:t>（三）加快高新区建设</w:t>
      </w:r>
    </w:p>
    <w:p>
      <w:pPr>
        <w:snapToGrid/>
        <w:spacing w:line="240" w:lineRule="auto"/>
        <w:ind w:firstLine="663" w:firstLineChars="195"/>
        <w:rPr>
          <w:rFonts w:ascii="仿宋_GB2312" w:hAnsi="宋体"/>
        </w:rPr>
      </w:pPr>
      <w:r>
        <w:rPr>
          <w:rFonts w:hint="eastAsia" w:ascii="仿宋_GB2312" w:hAnsi="宋体" w:cs="仿宋_GB2312"/>
        </w:rPr>
        <w:t>5</w:t>
      </w:r>
      <w:r>
        <w:rPr>
          <w:rFonts w:ascii="仿宋_GB2312" w:hAnsi="宋体" w:cs="仿宋_GB2312"/>
        </w:rPr>
        <w:t>.</w:t>
      </w:r>
      <w:r>
        <w:rPr>
          <w:rFonts w:hint="eastAsia" w:ascii="仿宋_GB2312" w:hAnsi="宋体" w:cs="仿宋_GB2312"/>
        </w:rPr>
        <w:t>支持高新区发展。推动湛江国家高新区争先进位，促进高新区建设成为推动经济高质量发展的先行区和创新驱动发展的示范区。加快湛江廉江高新区建设，全面提升科技创新能力，推进产业链、创新链协同发展，实施智能化转型，打造智能制造转型示范基地。大力实施优势产业园区创建省级高新区，营造良好的高新技术产业发展环境。【</w:t>
      </w:r>
      <w:r>
        <w:rPr>
          <w:rFonts w:hint="eastAsia" w:ascii="黑体" w:hAnsi="Calibri" w:eastAsia="黑体" w:cs="黑体"/>
        </w:rPr>
        <w:t>责任单位：湛江</w:t>
      </w:r>
      <w:r>
        <w:rPr>
          <w:rFonts w:hint="eastAsia" w:ascii="黑体" w:hAnsi="Calibri" w:eastAsia="黑体" w:cs="黑体"/>
          <w:lang w:eastAsia="zh-CN"/>
        </w:rPr>
        <w:t>经开</w:t>
      </w:r>
      <w:r>
        <w:rPr>
          <w:rFonts w:hint="eastAsia" w:ascii="黑体" w:hAnsi="Calibri" w:eastAsia="黑体" w:cs="黑体"/>
        </w:rPr>
        <w:t>区管委会、</w:t>
      </w:r>
      <w:r>
        <w:rPr>
          <w:rFonts w:hint="eastAsia" w:ascii="黑体" w:hAnsi="Calibri" w:eastAsia="黑体" w:cs="黑体"/>
          <w:lang w:eastAsia="zh-CN"/>
        </w:rPr>
        <w:t>国家</w:t>
      </w:r>
      <w:r>
        <w:rPr>
          <w:rFonts w:hint="eastAsia" w:ascii="黑体" w:hAnsi="Calibri" w:eastAsia="黑体" w:cs="黑体"/>
        </w:rPr>
        <w:t>高新区管委会</w:t>
      </w:r>
      <w:r>
        <w:rPr>
          <w:rFonts w:hint="eastAsia" w:ascii="黑体" w:hAnsi="Calibri" w:eastAsia="黑体" w:cs="黑体"/>
          <w:lang w:eastAsia="zh-CN"/>
        </w:rPr>
        <w:t>，</w:t>
      </w:r>
      <w:r>
        <w:rPr>
          <w:rFonts w:hint="eastAsia" w:ascii="黑体" w:hAnsi="Calibri" w:eastAsia="黑体" w:cs="黑体"/>
        </w:rPr>
        <w:t>市科技局、市发改局、市工信局、市自然资源局、市</w:t>
      </w:r>
      <w:r>
        <w:rPr>
          <w:rFonts w:hint="eastAsia" w:ascii="黑体" w:hAnsi="Calibri" w:eastAsia="黑体" w:cs="黑体"/>
          <w:lang w:eastAsia="zh-CN"/>
        </w:rPr>
        <w:t>城市更新</w:t>
      </w:r>
      <w:r>
        <w:rPr>
          <w:rFonts w:hint="eastAsia" w:ascii="黑体" w:hAnsi="Calibri" w:eastAsia="黑体" w:cs="黑体"/>
        </w:rPr>
        <w:t>局、市住建局、市商务局、市环保局、市</w:t>
      </w:r>
      <w:r>
        <w:rPr>
          <w:rFonts w:hint="eastAsia" w:ascii="黑体" w:hAnsi="Calibri" w:eastAsia="黑体" w:cs="黑体"/>
          <w:lang w:eastAsia="zh-CN"/>
        </w:rPr>
        <w:t>委</w:t>
      </w:r>
      <w:r>
        <w:rPr>
          <w:rFonts w:hint="eastAsia" w:ascii="黑体" w:hAnsi="Calibri" w:eastAsia="黑体" w:cs="黑体"/>
        </w:rPr>
        <w:t>编办</w:t>
      </w:r>
      <w:r>
        <w:rPr>
          <w:rFonts w:hint="eastAsia" w:ascii="仿宋_GB2312" w:hAnsi="宋体" w:cs="仿宋_GB2312"/>
        </w:rPr>
        <w:t>】</w:t>
      </w:r>
    </w:p>
    <w:p>
      <w:pPr>
        <w:snapToGrid/>
        <w:spacing w:line="240" w:lineRule="auto"/>
        <w:ind w:firstLine="663" w:firstLineChars="195"/>
        <w:rPr>
          <w:rFonts w:ascii="楷体_GB2312" w:hAnsi="楷体" w:eastAsia="楷体_GB2312"/>
        </w:rPr>
      </w:pPr>
      <w:r>
        <w:rPr>
          <w:rFonts w:hint="eastAsia" w:ascii="楷体_GB2312" w:hAnsi="楷体" w:eastAsia="楷体_GB2312" w:cs="楷体_GB2312"/>
        </w:rPr>
        <w:t>（四）推动高新技术企业增量提质</w:t>
      </w:r>
    </w:p>
    <w:p>
      <w:pPr>
        <w:snapToGrid/>
        <w:spacing w:line="240" w:lineRule="auto"/>
        <w:ind w:firstLine="663" w:firstLineChars="195"/>
        <w:rPr>
          <w:rFonts w:ascii="仿宋_GB2312" w:hAnsi="Calibri"/>
        </w:rPr>
      </w:pPr>
      <w:r>
        <w:rPr>
          <w:rFonts w:hint="eastAsia" w:ascii="仿宋_GB2312" w:hAnsi="宋体" w:cs="仿宋_GB2312"/>
        </w:rPr>
        <w:t>6</w:t>
      </w:r>
      <w:r>
        <w:rPr>
          <w:rFonts w:ascii="仿宋_GB2312" w:hAnsi="宋体" w:cs="仿宋_GB2312"/>
        </w:rPr>
        <w:t>.</w:t>
      </w:r>
      <w:r>
        <w:rPr>
          <w:rFonts w:hint="eastAsia" w:ascii="仿宋_GB2312" w:hAnsi="宋体" w:cs="仿宋_GB2312"/>
        </w:rPr>
        <w:t>引进和培育高新技术企业。坚持把招商引资作为经济工作的重中之重，持续优化高新技术企业引进的具体政策措施，大力引进高新技术企业、高科技项目和研发机构，对有效期内整体迁入我市的高新技术企业，一次性给予补助30万元。重点关注能够带动产业链、创新链的高新技术龙头企业、具有核心自主知识产权的初创型企业及科技型中小企业等，抓好引进、消化、吸收、再创新和集成创新，加快我市高新技术企业集聚。加快培育发展高新技术企业，配套奖励通过高新技术企业认定的企业。【</w:t>
      </w:r>
      <w:r>
        <w:rPr>
          <w:rFonts w:hint="eastAsia" w:ascii="黑体" w:hAnsi="Calibri" w:eastAsia="黑体" w:cs="黑体"/>
        </w:rPr>
        <w:t>牵头单位：市</w:t>
      </w:r>
      <w:r>
        <w:rPr>
          <w:rFonts w:hint="eastAsia" w:ascii="黑体" w:hAnsi="Calibri" w:eastAsia="黑体" w:cs="黑体"/>
          <w:lang w:eastAsia="zh-CN"/>
        </w:rPr>
        <w:t>投资促进</w:t>
      </w:r>
      <w:r>
        <w:rPr>
          <w:rFonts w:hint="eastAsia" w:ascii="黑体" w:hAnsi="Calibri" w:eastAsia="黑体" w:cs="黑体"/>
        </w:rPr>
        <w:t>局，责任单位：各县（市、区）政府（管委会）、市工信局、市财政局、市税</w:t>
      </w:r>
      <w:r>
        <w:rPr>
          <w:rFonts w:hint="eastAsia" w:ascii="黑体" w:hAnsi="Calibri" w:eastAsia="黑体" w:cs="黑体"/>
          <w:lang w:eastAsia="zh-CN"/>
        </w:rPr>
        <w:t>务</w:t>
      </w:r>
      <w:r>
        <w:rPr>
          <w:rFonts w:hint="eastAsia" w:ascii="黑体" w:hAnsi="Calibri" w:eastAsia="黑体" w:cs="黑体"/>
        </w:rPr>
        <w:t>局、市科技局</w:t>
      </w:r>
      <w:r>
        <w:rPr>
          <w:rFonts w:hint="eastAsia" w:ascii="仿宋_GB2312" w:hAnsi="宋体" w:cs="仿宋_GB2312"/>
        </w:rPr>
        <w:t>】</w:t>
      </w:r>
    </w:p>
    <w:p>
      <w:pPr>
        <w:snapToGrid/>
        <w:spacing w:line="240" w:lineRule="auto"/>
        <w:ind w:firstLine="663" w:firstLineChars="195"/>
        <w:rPr>
          <w:rFonts w:ascii="仿宋_GB2312" w:hAnsi="Calibri" w:cs="仿宋_GB2312"/>
        </w:rPr>
      </w:pPr>
      <w:r>
        <w:rPr>
          <w:rFonts w:ascii="仿宋_GB2312" w:hAnsi="宋体" w:cs="仿宋_GB2312"/>
        </w:rPr>
        <w:t>7.</w:t>
      </w:r>
      <w:r>
        <w:rPr>
          <w:rFonts w:hint="eastAsia" w:ascii="仿宋_GB2312" w:hAnsi="宋体" w:cs="仿宋_GB2312"/>
        </w:rPr>
        <w:t>鼓励企业自主核心技术攻关和技术改造。引导企业以高新技术推进产品产能和技术升级，每年推动200家以上工业企业开展技改，提高企业科技创新能力和研发管理水平。落实事后奖补政策，引导企业加大科技投入，</w:t>
      </w:r>
      <w:r>
        <w:rPr>
          <w:rFonts w:hint="eastAsia" w:ascii="仿宋_GB2312" w:cs="仿宋_GB2312"/>
        </w:rPr>
        <w:t>鼓励在湛研究机构、领军企业承接国家、省级科技计划、重大科研项目，开展前沿性技术研究。</w:t>
      </w:r>
      <w:r>
        <w:rPr>
          <w:rFonts w:hint="eastAsia" w:ascii="仿宋_GB2312" w:hAnsi="宋体" w:cs="仿宋_GB2312"/>
        </w:rPr>
        <w:t>支持企业开发具有自主知识产权的高新技术产品，增强高新技术产业核心竞争力和发展后劲。</w:t>
      </w:r>
      <w:r>
        <w:rPr>
          <w:rFonts w:hint="eastAsia" w:ascii="仿宋_GB2312" w:cs="仿宋_GB2312"/>
        </w:rPr>
        <w:t>【</w:t>
      </w:r>
      <w:r>
        <w:rPr>
          <w:rFonts w:hint="eastAsia" w:ascii="黑体" w:hAnsi="Calibri" w:eastAsia="黑体" w:cs="黑体"/>
        </w:rPr>
        <w:t>牵头单位：市科技局、市工信局，责任单位：市委组织部、市统计局、市财政局、驻湛高校、科研院所</w:t>
      </w:r>
      <w:r>
        <w:rPr>
          <w:rFonts w:hint="eastAsia" w:ascii="仿宋_GB2312" w:hAnsi="Calibri" w:cs="仿宋_GB2312"/>
        </w:rPr>
        <w:t>】</w:t>
      </w:r>
    </w:p>
    <w:p>
      <w:pPr>
        <w:snapToGrid/>
        <w:spacing w:line="240" w:lineRule="auto"/>
        <w:ind w:firstLine="663" w:firstLineChars="195"/>
        <w:rPr>
          <w:rFonts w:ascii="仿宋_GB2312" w:hAnsi="宋体"/>
        </w:rPr>
      </w:pPr>
      <w:r>
        <w:rPr>
          <w:rFonts w:ascii="仿宋_GB2312" w:hAnsi="宋体" w:cs="仿宋_GB2312"/>
        </w:rPr>
        <w:t>8.</w:t>
      </w:r>
      <w:r>
        <w:rPr>
          <w:rFonts w:hint="eastAsia" w:ascii="仿宋_GB2312" w:hAnsi="宋体" w:cs="仿宋_GB2312"/>
        </w:rPr>
        <w:t>支持企业知识产权创造。加大对企业发明创造资助和专利交易补助支持力度，加强企业知识产权的保护，发展知识产权代理、法律、信息、咨询、培训等服务，构建全链条的知识产权服务体系，建立重点企业知识产权保护直通车制度。到</w:t>
      </w:r>
      <w:r>
        <w:rPr>
          <w:rFonts w:ascii="仿宋_GB2312" w:hAnsi="宋体" w:cs="仿宋_GB2312"/>
        </w:rPr>
        <w:t>2025</w:t>
      </w:r>
      <w:r>
        <w:rPr>
          <w:rFonts w:hint="eastAsia" w:ascii="仿宋_GB2312" w:hAnsi="宋体" w:cs="仿宋_GB2312"/>
        </w:rPr>
        <w:t>年，每万人发明专利拥有量达</w:t>
      </w:r>
      <w:r>
        <w:rPr>
          <w:rFonts w:ascii="仿宋_GB2312" w:hAnsi="宋体" w:cs="仿宋_GB2312"/>
        </w:rPr>
        <w:t>3.8</w:t>
      </w:r>
      <w:r>
        <w:rPr>
          <w:rFonts w:hint="eastAsia" w:ascii="仿宋_GB2312" w:hAnsi="宋体" w:cs="仿宋_GB2312"/>
        </w:rPr>
        <w:t>件以上。【</w:t>
      </w:r>
      <w:r>
        <w:rPr>
          <w:rFonts w:hint="eastAsia" w:ascii="黑体" w:hAnsi="Calibri" w:eastAsia="黑体" w:cs="黑体"/>
        </w:rPr>
        <w:t>牵头单位：市市场监督管理局（知识产权局）、市科技局，责任单位：各县（市、区）政府（管委会）、市财政局、市工信局、市公安局、市文广新局</w:t>
      </w:r>
      <w:r>
        <w:rPr>
          <w:rFonts w:hint="eastAsia" w:ascii="仿宋_GB2312" w:hAnsi="宋体" w:cs="仿宋_GB2312"/>
        </w:rPr>
        <w:t>】</w:t>
      </w:r>
    </w:p>
    <w:p>
      <w:pPr>
        <w:spacing w:line="640" w:lineRule="exact"/>
        <w:ind w:firstLine="680" w:firstLineChars="200"/>
        <w:rPr>
          <w:rFonts w:ascii="仿宋_GB2312" w:hAnsi="仿宋_GB2312"/>
          <w:color w:val="333333"/>
        </w:rPr>
      </w:pPr>
      <w:r>
        <w:rPr>
          <w:rFonts w:ascii="仿宋_GB2312" w:hAnsi="宋体" w:cs="仿宋_GB2312"/>
        </w:rPr>
        <w:t>9.</w:t>
      </w:r>
      <w:r>
        <w:rPr>
          <w:rFonts w:hint="eastAsia" w:ascii="仿宋_GB2312" w:hAnsi="宋体" w:cs="仿宋_GB2312"/>
        </w:rPr>
        <w:t>推动产学研用协同联动。引导企业与高校、科研院所开展产学研用协同创新</w:t>
      </w:r>
      <w:r>
        <w:rPr>
          <w:rFonts w:hint="eastAsia" w:ascii="仿宋_GB2312" w:hAnsi="宋体" w:cs="仿宋_GB2312"/>
          <w:lang w:eastAsia="zh-CN"/>
        </w:rPr>
        <w:t>，聚焦应用基础研究和产业共性问题，推动高校、院所科技成果转化</w:t>
      </w:r>
      <w:r>
        <w:rPr>
          <w:rFonts w:hint="eastAsia" w:ascii="仿宋_GB2312" w:hAnsi="宋体" w:cs="仿宋_GB2312"/>
        </w:rPr>
        <w:t>。加强企业主导的产学研深度融合，强化目标导向，提高科技成果转化和产业化水平。支持不同创新主体建立产业技术创新联盟、合作基地以及联合申报各级科技计划项目</w:t>
      </w:r>
      <w:r>
        <w:rPr>
          <w:rFonts w:hint="eastAsia" w:ascii="仿宋_GB2312" w:hAnsi="仿宋_GB2312"/>
          <w:color w:val="333333"/>
        </w:rPr>
        <w:t>。</w:t>
      </w:r>
      <w:r>
        <w:rPr>
          <w:rFonts w:hint="eastAsia" w:ascii="仿宋_GB2312" w:hAnsi="宋体" w:cs="仿宋_GB2312"/>
        </w:rPr>
        <w:t>【</w:t>
      </w:r>
      <w:r>
        <w:rPr>
          <w:rFonts w:hint="eastAsia" w:ascii="黑体" w:hAnsi="Calibri" w:eastAsia="黑体" w:cs="黑体"/>
        </w:rPr>
        <w:t>牵头单位：市科技局，责任单位：驻湛高校、科研院所、市教育局、市工信局</w:t>
      </w:r>
      <w:r>
        <w:rPr>
          <w:rFonts w:hint="eastAsia" w:ascii="仿宋_GB2312" w:hAnsi="宋体" w:cs="仿宋_GB2312"/>
        </w:rPr>
        <w:t>】</w:t>
      </w:r>
    </w:p>
    <w:p>
      <w:pPr>
        <w:snapToGrid/>
        <w:spacing w:line="240" w:lineRule="auto"/>
        <w:ind w:firstLine="663" w:firstLineChars="195"/>
        <w:rPr>
          <w:rFonts w:ascii="楷体_GB2312" w:hAnsi="楷体" w:eastAsia="楷体_GB2312" w:cs="楷体_GB2312"/>
        </w:rPr>
      </w:pPr>
      <w:r>
        <w:rPr>
          <w:rFonts w:hint="eastAsia" w:ascii="楷体_GB2312" w:hAnsi="楷体" w:eastAsia="楷体_GB2312" w:cs="楷体_GB2312"/>
        </w:rPr>
        <w:t>（五）打造科技创新平台</w:t>
      </w:r>
    </w:p>
    <w:p>
      <w:pPr>
        <w:snapToGrid/>
        <w:spacing w:line="240" w:lineRule="auto"/>
        <w:ind w:firstLine="663" w:firstLineChars="195"/>
        <w:rPr>
          <w:rFonts w:ascii="仿宋_GB2312" w:hAnsi="宋体"/>
        </w:rPr>
      </w:pPr>
      <w:r>
        <w:rPr>
          <w:rFonts w:ascii="仿宋_GB2312" w:hAnsi="Calibri" w:cs="仿宋_GB2312"/>
        </w:rPr>
        <w:t>10.</w:t>
      </w:r>
      <w:r>
        <w:rPr>
          <w:rFonts w:hint="eastAsia" w:ascii="仿宋_GB2312" w:hAnsi="Calibri" w:cs="仿宋_GB2312"/>
        </w:rPr>
        <w:t>打造区域创新平台高地。加快</w:t>
      </w:r>
      <w:r>
        <w:rPr>
          <w:rFonts w:hint="eastAsia" w:ascii="仿宋_GB2312" w:hAnsi="宋体" w:cs="仿宋_GB2312"/>
        </w:rPr>
        <w:t>建设海洋科技产业创新中心、科技成果转化等高水平科技创新平台</w:t>
      </w:r>
      <w:r>
        <w:rPr>
          <w:rFonts w:hint="eastAsia" w:ascii="仿宋_GB2312" w:hAnsi="宋体" w:cs="仿宋_GB2312"/>
          <w:lang w:eastAsia="zh-CN"/>
        </w:rPr>
        <w:t>。</w:t>
      </w:r>
      <w:r>
        <w:rPr>
          <w:rFonts w:hint="eastAsia" w:ascii="仿宋_GB2312" w:hAnsi="宋体" w:cs="仿宋_GB2312"/>
        </w:rPr>
        <w:t>对标国际一流实验室，加快建设湛江湾实验室，</w:t>
      </w:r>
      <w:r>
        <w:rPr>
          <w:rFonts w:hint="eastAsia" w:ascii="仿宋_GB2312" w:cs="仿宋_GB2312"/>
        </w:rPr>
        <w:t>实现我市</w:t>
      </w:r>
      <w:r>
        <w:rPr>
          <w:rFonts w:hint="eastAsia" w:ascii="仿宋_GB2312" w:hAnsiTheme="minorEastAsia"/>
        </w:rPr>
        <w:t>大学科技园和加速器零的突破，全市各类研发机构超600家，孵化器超18家，众创空间超20家，省级以上创新平台达到180家以上。</w:t>
      </w:r>
      <w:r>
        <w:rPr>
          <w:rFonts w:hint="eastAsia" w:ascii="仿宋_GB2312" w:hAnsi="宋体" w:cs="仿宋_GB2312"/>
        </w:rPr>
        <w:t>【</w:t>
      </w:r>
      <w:r>
        <w:rPr>
          <w:rFonts w:hint="eastAsia" w:ascii="黑体" w:hAnsi="Calibri" w:eastAsia="黑体" w:cs="黑体"/>
        </w:rPr>
        <w:t>责任单位：市科技局、湛江湾实验室、市</w:t>
      </w:r>
      <w:r>
        <w:rPr>
          <w:rFonts w:hint="eastAsia" w:ascii="黑体" w:hAnsi="Calibri" w:eastAsia="黑体" w:cs="黑体"/>
          <w:lang w:eastAsia="zh-CN"/>
        </w:rPr>
        <w:t>城市更新</w:t>
      </w:r>
      <w:r>
        <w:rPr>
          <w:rFonts w:hint="eastAsia" w:ascii="黑体" w:hAnsi="Calibri" w:eastAsia="黑体" w:cs="黑体"/>
        </w:rPr>
        <w:t>局、市发改局、市自然资源局、市财政局、市住建局、市城市管理</w:t>
      </w:r>
      <w:r>
        <w:rPr>
          <w:rFonts w:hint="eastAsia" w:ascii="黑体" w:hAnsi="Calibri" w:eastAsia="黑体" w:cs="黑体"/>
          <w:lang w:eastAsia="zh-CN"/>
        </w:rPr>
        <w:t>和</w:t>
      </w:r>
      <w:r>
        <w:rPr>
          <w:rFonts w:hint="eastAsia" w:ascii="黑体" w:hAnsi="Calibri" w:eastAsia="黑体" w:cs="黑体"/>
        </w:rPr>
        <w:t>综合</w:t>
      </w:r>
      <w:r>
        <w:rPr>
          <w:rFonts w:hint="eastAsia" w:ascii="黑体" w:hAnsi="Calibri" w:eastAsia="黑体" w:cs="黑体"/>
          <w:lang w:eastAsia="zh-CN"/>
        </w:rPr>
        <w:t>执法</w:t>
      </w:r>
      <w:r>
        <w:rPr>
          <w:rFonts w:hint="eastAsia" w:ascii="黑体" w:hAnsi="Calibri" w:eastAsia="黑体" w:cs="黑体"/>
        </w:rPr>
        <w:t>局、市水务集团、市供电局、麻章区政府</w:t>
      </w:r>
      <w:r>
        <w:rPr>
          <w:rFonts w:hint="eastAsia" w:ascii="仿宋_GB2312" w:hAnsi="宋体" w:cs="仿宋_GB2312"/>
        </w:rPr>
        <w:t>】</w:t>
      </w:r>
    </w:p>
    <w:p>
      <w:pPr>
        <w:snapToGrid/>
        <w:spacing w:line="240" w:lineRule="auto"/>
        <w:ind w:firstLine="663" w:firstLineChars="195"/>
        <w:rPr>
          <w:rFonts w:ascii="仿宋_GB2312" w:hAnsi="Calibri"/>
        </w:rPr>
      </w:pPr>
      <w:r>
        <w:rPr>
          <w:rFonts w:ascii="仿宋_GB2312" w:hAnsi="宋体" w:cs="仿宋_GB2312"/>
        </w:rPr>
        <w:t>11.</w:t>
      </w:r>
      <w:r>
        <w:rPr>
          <w:rFonts w:hint="eastAsia" w:ascii="仿宋_GB2312" w:hAnsi="宋体" w:cs="仿宋_GB2312"/>
        </w:rPr>
        <w:t>集聚国内外创新平台资源。进一步</w:t>
      </w:r>
      <w:r>
        <w:rPr>
          <w:rFonts w:hint="eastAsia" w:ascii="仿宋_GB2312" w:cs="仿宋_GB2312"/>
        </w:rPr>
        <w:t>加强</w:t>
      </w:r>
      <w:r>
        <w:rPr>
          <w:rFonts w:hint="eastAsia" w:ascii="仿宋_GB2312" w:hAnsi="宋体" w:cs="仿宋_GB2312"/>
        </w:rPr>
        <w:t>与大型央企和著名高校、科研院所沟通对接，重点引进外地高校、科研院所和大型优势企业入湛建设各类科研实验室、工程技术研发中心和科技成果孵化基地。积极融入粤港澳大湾区建设和国内国际双循环，充分利用国内国际两个市场，引导外资投向先进制造业、高新技术产业、现代农业、现代服务业等领域，吸引国内外有实力的企业在湛江设立地区总部。【</w:t>
      </w:r>
      <w:r>
        <w:rPr>
          <w:rFonts w:hint="eastAsia" w:ascii="黑体" w:hAnsi="Calibri" w:eastAsia="黑体" w:cs="黑体"/>
        </w:rPr>
        <w:t>牵头单位：市科技局、市财政局、市教育局、驻湛高校、科研院所</w:t>
      </w:r>
      <w:r>
        <w:rPr>
          <w:rFonts w:hint="eastAsia" w:ascii="仿宋_GB2312" w:hAnsi="宋体" w:cs="仿宋_GB2312"/>
        </w:rPr>
        <w:t>】</w:t>
      </w:r>
    </w:p>
    <w:p>
      <w:pPr>
        <w:snapToGrid/>
        <w:spacing w:line="240" w:lineRule="auto"/>
        <w:ind w:firstLine="663" w:firstLineChars="195"/>
        <w:rPr>
          <w:rFonts w:ascii="楷体" w:hAnsi="楷体" w:eastAsia="楷体"/>
          <w:b/>
          <w:bCs/>
        </w:rPr>
      </w:pPr>
      <w:r>
        <w:rPr>
          <w:rFonts w:hint="eastAsia" w:ascii="楷体_GB2312" w:hAnsi="楷体" w:eastAsia="楷体_GB2312" w:cs="楷体_GB2312"/>
        </w:rPr>
        <w:t>（六）加快人才队伍建设</w:t>
      </w:r>
    </w:p>
    <w:p>
      <w:pPr>
        <w:pStyle w:val="5"/>
        <w:ind w:firstLine="680" w:firstLineChars="200"/>
        <w:rPr>
          <w:rFonts w:ascii="仿宋_GB2312" w:eastAsia="仿宋_GB2312" w:cs="仿宋_GB2312"/>
          <w:sz w:val="32"/>
          <w:szCs w:val="32"/>
        </w:rPr>
      </w:pPr>
      <w:r>
        <w:rPr>
          <w:rFonts w:hint="eastAsia" w:ascii="仿宋_GB2312" w:hAnsi="Times New Roman" w:eastAsia="仿宋_GB2312" w:cs="仿宋_GB2312"/>
          <w:snapToGrid w:val="0"/>
          <w:kern w:val="0"/>
          <w:sz w:val="32"/>
          <w:szCs w:val="32"/>
        </w:rPr>
        <w:t>1</w:t>
      </w:r>
      <w:r>
        <w:rPr>
          <w:rFonts w:ascii="仿宋_GB2312" w:hAnsi="Times New Roman" w:eastAsia="仿宋_GB2312" w:cs="仿宋_GB2312"/>
          <w:snapToGrid w:val="0"/>
          <w:kern w:val="0"/>
          <w:sz w:val="32"/>
          <w:szCs w:val="32"/>
        </w:rPr>
        <w:t>2.</w:t>
      </w:r>
      <w:r>
        <w:rPr>
          <w:rFonts w:hint="eastAsia" w:ascii="仿宋_GB2312" w:hAnsi="Times New Roman" w:eastAsia="仿宋_GB2312" w:cs="仿宋_GB2312"/>
          <w:snapToGrid w:val="0"/>
          <w:kern w:val="0"/>
          <w:sz w:val="32"/>
          <w:szCs w:val="32"/>
        </w:rPr>
        <w:t>壮大创新创业人才队伍。</w:t>
      </w:r>
      <w:r>
        <w:rPr>
          <w:rFonts w:hint="eastAsia" w:ascii="仿宋_GB2312" w:eastAsia="仿宋_GB2312" w:cs="仿宋_GB2312"/>
          <w:sz w:val="32"/>
          <w:szCs w:val="32"/>
        </w:rPr>
        <w:t>围绕湛江产业发展的需求，</w:t>
      </w:r>
      <w:r>
        <w:rPr>
          <w:rFonts w:hint="eastAsia" w:ascii="仿宋_GB2312" w:hAnsi="Times New Roman" w:eastAsia="仿宋_GB2312" w:cs="仿宋_GB2312"/>
          <w:snapToGrid w:val="0"/>
          <w:kern w:val="0"/>
          <w:sz w:val="32"/>
          <w:szCs w:val="32"/>
        </w:rPr>
        <w:t>坚持自主培养与外部引进并重，</w:t>
      </w:r>
      <w:r>
        <w:rPr>
          <w:rFonts w:hint="eastAsia" w:ascii="仿宋_GB2312" w:eastAsia="仿宋_GB2312" w:cs="仿宋_GB2312"/>
          <w:sz w:val="32"/>
          <w:szCs w:val="32"/>
        </w:rPr>
        <w:t>强化人才要素供给，落实人才政策，加大高层次人才、领军型人才和高水平创新创业团队的引进力度，重点引育带技术、带项目的创新创业团队落户湛江。开展企业人才订单式学习培训，形成政府引导、高校支持、企业参与的工作格局。【</w:t>
      </w:r>
      <w:r>
        <w:rPr>
          <w:rFonts w:hint="eastAsia" w:ascii="黑体" w:hAnsi="Calibri" w:eastAsia="黑体" w:cs="黑体"/>
          <w:kern w:val="0"/>
          <w:sz w:val="32"/>
          <w:szCs w:val="32"/>
        </w:rPr>
        <w:t>牵头单位：市人社局，责任单位：各县（市、区）政府（管委会）、市委组织部、市财政局、市教育局、市科技局</w:t>
      </w:r>
      <w:r>
        <w:rPr>
          <w:rFonts w:hint="eastAsia" w:ascii="仿宋_GB2312" w:eastAsia="仿宋_GB2312" w:cs="仿宋_GB2312"/>
          <w:sz w:val="32"/>
          <w:szCs w:val="32"/>
        </w:rPr>
        <w:t>】</w:t>
      </w:r>
    </w:p>
    <w:p>
      <w:pPr>
        <w:snapToGrid/>
        <w:spacing w:line="240" w:lineRule="auto"/>
        <w:ind w:firstLine="663" w:firstLineChars="195"/>
        <w:rPr>
          <w:rFonts w:ascii="楷体_GB2312" w:hAnsi="楷体" w:eastAsia="楷体_GB2312"/>
        </w:rPr>
      </w:pPr>
      <w:r>
        <w:rPr>
          <w:rFonts w:hint="eastAsia" w:ascii="楷体_GB2312" w:hAnsi="楷体" w:eastAsia="楷体_GB2312" w:cs="楷体_GB2312"/>
        </w:rPr>
        <w:t>（七）完善科技服务体系</w:t>
      </w:r>
    </w:p>
    <w:p>
      <w:pPr>
        <w:spacing w:line="560" w:lineRule="exact"/>
        <w:ind w:firstLine="680" w:firstLineChars="200"/>
        <w:rPr>
          <w:rFonts w:ascii="仿宋_GB2312"/>
        </w:rPr>
      </w:pPr>
      <w:r>
        <w:rPr>
          <w:rFonts w:ascii="仿宋_GB2312" w:hAnsi="宋体" w:cs="仿宋_GB2312"/>
        </w:rPr>
        <w:t>13.</w:t>
      </w:r>
      <w:r>
        <w:rPr>
          <w:rFonts w:hint="eastAsia" w:ascii="仿宋_GB2312" w:hAnsi="宋体" w:cs="仿宋_GB2312"/>
        </w:rPr>
        <w:t>完善科技金融服务体系。探索完善湛江市联合科技信贷风险准备金项目</w:t>
      </w:r>
      <w:r>
        <w:rPr>
          <w:rFonts w:hint="eastAsia" w:ascii="仿宋_GB2312" w:hAnsi="宋体" w:cs="仿宋_GB2312"/>
          <w:lang w:eastAsia="zh-CN"/>
        </w:rPr>
        <w:t>，</w:t>
      </w:r>
      <w:r>
        <w:rPr>
          <w:rFonts w:hint="eastAsia" w:ascii="仿宋_GB2312" w:hAnsi="宋体" w:cs="仿宋_GB2312"/>
        </w:rPr>
        <w:t>优化科技信贷风险准备金相关政策，逐步加大科技信贷风险准备金对科技创新活动的支撑作用，支持科技型中小企业解决融资难等问题</w:t>
      </w:r>
      <w:r>
        <w:rPr>
          <w:rFonts w:hint="eastAsia" w:ascii="仿宋_GB2312" w:hAnsi="宋体" w:cs="仿宋_GB2312"/>
          <w:lang w:eastAsia="zh-CN"/>
        </w:rPr>
        <w:t>。</w:t>
      </w:r>
      <w:bookmarkStart w:id="1" w:name="_GoBack"/>
      <w:bookmarkEnd w:id="1"/>
      <w:r>
        <w:rPr>
          <w:rFonts w:hint="eastAsia" w:ascii="仿宋_GB2312" w:hAnsi="宋体" w:cs="仿宋_GB2312"/>
        </w:rPr>
        <w:t>构建以政府为引导、企业投入为主体，政府资金与社会资金、债权资金与股权资金、间接融资与直接融资有机结合的科技投融资体系，进一步提高我市科技金融服务能力。【</w:t>
      </w:r>
      <w:r>
        <w:rPr>
          <w:rFonts w:hint="eastAsia" w:ascii="黑体" w:hAnsi="Calibri" w:eastAsia="黑体" w:cs="黑体"/>
        </w:rPr>
        <w:t>牵头单位：市金融局，责任单位：各商业银行、市科技局、市财政局</w:t>
      </w:r>
      <w:r>
        <w:rPr>
          <w:rFonts w:hint="eastAsia" w:ascii="仿宋_GB2312" w:hAnsi="宋体" w:cs="仿宋_GB2312"/>
        </w:rPr>
        <w:t>】</w:t>
      </w:r>
    </w:p>
    <w:p>
      <w:pPr>
        <w:spacing w:line="560" w:lineRule="exact"/>
        <w:ind w:firstLine="680" w:firstLineChars="200"/>
        <w:rPr>
          <w:rFonts w:ascii="仿宋_GB2312" w:cs="仿宋_GB2312"/>
        </w:rPr>
      </w:pPr>
      <w:r>
        <w:rPr>
          <w:rFonts w:ascii="仿宋_GB2312" w:hAnsi="宋体" w:cs="仿宋_GB2312"/>
        </w:rPr>
        <w:t>14.</w:t>
      </w:r>
      <w:r>
        <w:rPr>
          <w:rFonts w:hint="eastAsia" w:ascii="仿宋_GB2312" w:cs="仿宋_GB2312"/>
        </w:rPr>
        <w:t>建设科技孵化育成体系。实施科技企业孵化载体县（市、区）全覆盖行动，到2</w:t>
      </w:r>
      <w:r>
        <w:rPr>
          <w:rFonts w:ascii="仿宋_GB2312" w:cs="仿宋_GB2312"/>
        </w:rPr>
        <w:t>025</w:t>
      </w:r>
      <w:r>
        <w:rPr>
          <w:rFonts w:hint="eastAsia" w:ascii="仿宋_GB2312" w:cs="仿宋_GB2312"/>
        </w:rPr>
        <w:t>年，实现各县（市、区）孵化</w:t>
      </w:r>
      <w:r>
        <w:rPr>
          <w:rFonts w:hint="eastAsia" w:ascii="仿宋_GB2312" w:cs="仿宋_GB2312"/>
          <w:lang w:eastAsia="zh-CN"/>
        </w:rPr>
        <w:t>载体</w:t>
      </w:r>
      <w:r>
        <w:rPr>
          <w:rFonts w:hint="eastAsia" w:ascii="仿宋_GB2312" w:cs="仿宋_GB2312"/>
        </w:rPr>
        <w:t>全覆盖。引导科技企业孵化器、众创空间成为高新技术企业培育基地。着力提升孵化服务能力，加强科技型中小微企业的孵化培育，催生高新技术企业。构建“众创空间</w:t>
      </w:r>
      <w:r>
        <w:rPr>
          <w:rFonts w:ascii="仿宋_GB2312" w:cs="仿宋_GB2312"/>
        </w:rPr>
        <w:t>+</w:t>
      </w:r>
      <w:r>
        <w:rPr>
          <w:rFonts w:hint="eastAsia" w:ascii="仿宋_GB2312" w:cs="仿宋_GB2312"/>
        </w:rPr>
        <w:t>孵化器</w:t>
      </w:r>
      <w:r>
        <w:rPr>
          <w:rFonts w:ascii="仿宋_GB2312" w:cs="仿宋_GB2312"/>
        </w:rPr>
        <w:t>+</w:t>
      </w:r>
      <w:r>
        <w:rPr>
          <w:rFonts w:hint="eastAsia" w:ascii="仿宋_GB2312" w:cs="仿宋_GB2312"/>
        </w:rPr>
        <w:t>加速器</w:t>
      </w:r>
      <w:r>
        <w:rPr>
          <w:rFonts w:ascii="仿宋_GB2312" w:cs="仿宋_GB2312"/>
        </w:rPr>
        <w:t>+</w:t>
      </w:r>
      <w:r>
        <w:rPr>
          <w:rFonts w:hint="eastAsia" w:ascii="仿宋_GB2312" w:cs="仿宋_GB2312"/>
        </w:rPr>
        <w:t>专业园区”的全要素孵化链条，有效提升创业成功率和孵化器的可持续发展能力。【</w:t>
      </w:r>
      <w:r>
        <w:rPr>
          <w:rFonts w:hint="eastAsia" w:ascii="黑体" w:eastAsia="黑体" w:cs="黑体"/>
        </w:rPr>
        <w:t>牵头单位：各县（市、区）政府（管委会）市，责任单位：</w:t>
      </w:r>
      <w:r>
        <w:rPr>
          <w:rFonts w:hint="eastAsia" w:ascii="黑体" w:hAnsi="Calibri" w:eastAsia="黑体" w:cs="黑体"/>
        </w:rPr>
        <w:t>科技局、市发改局、市工信局、</w:t>
      </w:r>
      <w:r>
        <w:rPr>
          <w:rFonts w:hint="eastAsia" w:ascii="黑体" w:hAnsi="宋体" w:eastAsia="黑体" w:cs="黑体"/>
        </w:rPr>
        <w:t>市财政局</w:t>
      </w:r>
      <w:r>
        <w:rPr>
          <w:rFonts w:hint="eastAsia" w:ascii="仿宋_GB2312" w:hAnsi="Calibri" w:cs="仿宋_GB2312"/>
        </w:rPr>
        <w:t>】</w:t>
      </w:r>
    </w:p>
    <w:p>
      <w:pPr>
        <w:snapToGrid/>
        <w:spacing w:line="240" w:lineRule="auto"/>
        <w:rPr>
          <w:rFonts w:ascii="宋体" w:hAnsi="宋体" w:eastAsia="宋体"/>
        </w:rPr>
      </w:pPr>
      <w:r>
        <w:rPr>
          <w:rFonts w:ascii="仿宋_GB2312" w:cs="仿宋_GB2312"/>
        </w:rPr>
        <w:t>15.</w:t>
      </w:r>
      <w:r>
        <w:rPr>
          <w:rFonts w:hint="eastAsia" w:ascii="仿宋_GB2312" w:cs="仿宋_GB2312"/>
        </w:rPr>
        <w:t>发展科技中介服务体系。</w:t>
      </w:r>
      <w:r>
        <w:rPr>
          <w:rFonts w:hint="eastAsia" w:ascii="仿宋" w:hAnsi="仿宋" w:eastAsia="仿宋"/>
          <w:color w:val="333333"/>
        </w:rPr>
        <w:t>积极构建系统性、多样性、专业性的创新服务平台，整合国内丰富的科技资源，盘活湛江及周边地区的有效科技资源，为企业提供包括咨询、培训、资源对接、创新活动、技术评估交易、研发众包、检验检测、政策服务、知识产权、科技金融等一站式技术创新服务。</w:t>
      </w:r>
      <w:r>
        <w:rPr>
          <w:rFonts w:hint="eastAsia" w:ascii="仿宋_GB2312" w:hAnsi="Calibri" w:cs="仿宋_GB2312"/>
        </w:rPr>
        <w:t>【</w:t>
      </w:r>
      <w:r>
        <w:rPr>
          <w:rFonts w:hint="eastAsia" w:ascii="黑体" w:hAnsi="Calibri" w:eastAsia="黑体" w:cs="黑体"/>
        </w:rPr>
        <w:t>牵头单位：市科技局、市商务局、市财政局</w:t>
      </w:r>
      <w:r>
        <w:rPr>
          <w:rFonts w:hint="eastAsia" w:ascii="仿宋_GB2312" w:hAnsi="Calibri" w:cs="仿宋_GB2312"/>
        </w:rPr>
        <w:t>】</w:t>
      </w:r>
    </w:p>
    <w:p>
      <w:pPr>
        <w:snapToGrid/>
        <w:spacing w:line="240" w:lineRule="auto"/>
        <w:ind w:firstLine="680" w:firstLineChars="200"/>
        <w:rPr>
          <w:rFonts w:ascii="黑体" w:hAnsi="黑体" w:eastAsia="黑体"/>
        </w:rPr>
      </w:pPr>
      <w:r>
        <w:rPr>
          <w:rFonts w:hint="eastAsia" w:ascii="黑体" w:hAnsi="黑体" w:eastAsia="黑体" w:cs="黑体"/>
        </w:rPr>
        <w:t>三、保障措施</w:t>
      </w:r>
    </w:p>
    <w:p>
      <w:pPr>
        <w:snapToGrid/>
        <w:spacing w:line="240" w:lineRule="auto"/>
        <w:ind w:firstLine="663" w:firstLineChars="195"/>
        <w:rPr>
          <w:rFonts w:ascii="楷体_GB2312" w:hAnsi="楷体" w:eastAsia="楷体_GB2312" w:cs="楷体_GB2312"/>
        </w:rPr>
      </w:pPr>
      <w:r>
        <w:rPr>
          <w:rFonts w:hint="eastAsia" w:ascii="楷体_GB2312" w:hAnsi="楷体" w:eastAsia="楷体_GB2312" w:cs="楷体_GB2312"/>
        </w:rPr>
        <w:t>（一）加强组织领导</w:t>
      </w:r>
    </w:p>
    <w:p>
      <w:pPr>
        <w:snapToGrid/>
        <w:spacing w:line="240" w:lineRule="auto"/>
        <w:ind w:firstLine="663" w:firstLineChars="195"/>
        <w:rPr>
          <w:rFonts w:ascii="仿宋_GB2312" w:hAnsi="Calibri" w:cs="仿宋_GB2312"/>
        </w:rPr>
      </w:pPr>
      <w:r>
        <w:rPr>
          <w:rFonts w:hint="eastAsia" w:ascii="仿宋_GB2312" w:hAnsi="Calibri" w:cs="仿宋_GB2312"/>
        </w:rPr>
        <w:t>市高新技术产业培育计划工作领导小组</w:t>
      </w:r>
      <w:r>
        <w:rPr>
          <w:rFonts w:hint="eastAsia" w:ascii="仿宋_GB2312" w:hAnsi="Calibri" w:cs="仿宋_GB2312"/>
          <w:lang w:eastAsia="zh-CN"/>
        </w:rPr>
        <w:t>（</w:t>
      </w:r>
      <w:r>
        <w:rPr>
          <w:rFonts w:hint="eastAsia" w:ascii="仿宋_GB2312" w:hAnsi="Calibri" w:cs="仿宋_GB2312"/>
        </w:rPr>
        <w:t>由市政府分管领导任组长，领导小组下设办公室，办公室设在市科技局，办公室下设业务工作组和督查考核组</w:t>
      </w:r>
      <w:r>
        <w:rPr>
          <w:rFonts w:hint="eastAsia" w:ascii="仿宋_GB2312" w:hAnsi="Calibri" w:cs="仿宋_GB2312"/>
          <w:lang w:eastAsia="zh-CN"/>
        </w:rPr>
        <w:t>）</w:t>
      </w:r>
      <w:r>
        <w:rPr>
          <w:rFonts w:hint="eastAsia" w:ascii="仿宋_GB2312" w:hAnsi="Calibri" w:cs="仿宋_GB2312"/>
        </w:rPr>
        <w:t>统筹协调相关责任部门依照职责任务完善政策，优化服务，加大协调，量化任务分解，形成长效工作机制，共同推进工作落实。各区县要建立健全工作机制，明确工作目标，制定工作方案，做到上下联动、协同推进，为高新技术产业发展提供专业、高效、精准服务。</w:t>
      </w:r>
    </w:p>
    <w:p>
      <w:pPr>
        <w:snapToGrid/>
        <w:spacing w:line="240" w:lineRule="auto"/>
        <w:ind w:firstLine="663" w:firstLineChars="195"/>
        <w:rPr>
          <w:rFonts w:ascii="楷体_GB2312" w:hAnsi="楷体" w:eastAsia="楷体_GB2312"/>
        </w:rPr>
      </w:pPr>
      <w:r>
        <w:rPr>
          <w:rFonts w:hint="eastAsia" w:ascii="楷体_GB2312" w:hAnsi="楷体" w:eastAsia="楷体_GB2312" w:cs="楷体_GB2312"/>
        </w:rPr>
        <w:t>（二）加强财政保障</w:t>
      </w:r>
    </w:p>
    <w:p>
      <w:pPr>
        <w:snapToGrid/>
        <w:spacing w:line="240" w:lineRule="auto"/>
        <w:rPr>
          <w:rFonts w:ascii="仿宋_GB2312" w:cs="仿宋_GB2312"/>
        </w:rPr>
      </w:pPr>
      <w:r>
        <w:rPr>
          <w:rFonts w:hint="eastAsia" w:ascii="仿宋_GB2312" w:cs="仿宋_GB2312"/>
        </w:rPr>
        <w:t>不断加大财政投入，创新投入方式，制订常态化直达资金机制管理办法和直达资金管理内部操作规程，</w:t>
      </w:r>
      <w:bookmarkStart w:id="0" w:name="_Hlk72532949"/>
      <w:r>
        <w:rPr>
          <w:rFonts w:hint="eastAsia" w:ascii="仿宋_GB2312" w:cs="仿宋_GB2312"/>
        </w:rPr>
        <w:t>确保直达资金惠企利民</w:t>
      </w:r>
      <w:bookmarkEnd w:id="0"/>
      <w:r>
        <w:rPr>
          <w:rFonts w:hint="eastAsia" w:ascii="仿宋_GB2312" w:cs="仿宋_GB2312"/>
        </w:rPr>
        <w:t>。落实各项高新技术企业扶持政策，加强专利资助力度，</w:t>
      </w:r>
      <w:r>
        <w:rPr>
          <w:rFonts w:hint="eastAsia" w:ascii="仿宋_GB2312" w:hAnsi="宋体" w:cs="仿宋_GB2312"/>
          <w:snapToGrid w:val="0"/>
        </w:rPr>
        <w:t>提高科技成果转化奖励力度，</w:t>
      </w:r>
      <w:r>
        <w:rPr>
          <w:rFonts w:hint="eastAsia" w:ascii="仿宋_GB2312" w:hAnsi="Calibri" w:cs="仿宋_GB2312"/>
        </w:rPr>
        <w:t>落实国家高新技术企业税收政策。</w:t>
      </w:r>
      <w:r>
        <w:rPr>
          <w:rFonts w:hint="eastAsia" w:ascii="仿宋_GB2312" w:cs="仿宋_GB2312"/>
        </w:rPr>
        <w:t>各县（市、区）政府作为高新技术产业培育计划的责任主体，要加大县级财政科技投入，参照省市的奖补资助办法，制定本地奖补扶持高新技术产业发展的相关政策，形成推动高新技术产业发展的强大合力，共同推进高新技术产业发展。</w:t>
      </w:r>
    </w:p>
    <w:p>
      <w:pPr>
        <w:tabs>
          <w:tab w:val="left" w:pos="6112"/>
          <w:tab w:val="left" w:pos="7426"/>
          <w:tab w:val="left" w:pos="7584"/>
        </w:tabs>
        <w:snapToGrid/>
        <w:spacing w:line="240" w:lineRule="auto"/>
        <w:ind w:firstLine="680" w:firstLineChars="200"/>
        <w:rPr>
          <w:rFonts w:ascii="楷体_GB2312" w:hAnsi="楷体" w:eastAsia="楷体_GB2312"/>
        </w:rPr>
      </w:pPr>
      <w:r>
        <w:rPr>
          <w:rFonts w:hint="eastAsia" w:ascii="楷体_GB2312" w:hAnsi="楷体" w:eastAsia="楷体_GB2312" w:cs="楷体_GB2312"/>
        </w:rPr>
        <w:t>（三）强化督查考核</w:t>
      </w:r>
    </w:p>
    <w:p>
      <w:pPr>
        <w:tabs>
          <w:tab w:val="left" w:pos="6112"/>
          <w:tab w:val="left" w:pos="7426"/>
          <w:tab w:val="left" w:pos="7584"/>
        </w:tabs>
        <w:snapToGrid/>
        <w:spacing w:line="240" w:lineRule="auto"/>
        <w:ind w:firstLine="680" w:firstLineChars="200"/>
        <w:rPr>
          <w:rFonts w:ascii="仿宋_GB2312" w:cs="仿宋_GB2312"/>
        </w:rPr>
      </w:pPr>
      <w:r>
        <w:rPr>
          <w:rFonts w:hint="eastAsia" w:ascii="仿宋_GB2312" w:cs="仿宋_GB2312"/>
        </w:rPr>
        <w:t>建立目标责任制，制定月报季查年考核制度，把高新技术产业培育工作核心指标纳入各区和各相关部门年度绩效考核内容，全力推动培育工作有效开展。</w:t>
      </w:r>
    </w:p>
    <w:p>
      <w:pPr>
        <w:snapToGrid/>
        <w:spacing w:line="240" w:lineRule="auto"/>
        <w:ind w:left="1801" w:leftChars="194" w:hanging="1142" w:hangingChars="336"/>
        <w:rPr>
          <w:rFonts w:ascii="仿宋_GB2312" w:cs="仿宋_GB2312"/>
        </w:rPr>
      </w:pPr>
    </w:p>
    <w:sectPr>
      <w:footerReference r:id="rId5" w:type="default"/>
      <w:pgSz w:w="11906" w:h="16838"/>
      <w:pgMar w:top="2098" w:right="1531" w:bottom="1985" w:left="1531" w:header="851" w:footer="1701" w:gutter="0"/>
      <w:pgNumType w:start="1"/>
      <w:cols w:space="720" w:num="1"/>
      <w:docGrid w:type="linesAndChars" w:linePitch="579" w:charSpace="412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86"/>
    <w:family w:val="modern"/>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2000000" w:usb3="00000000" w:csb0="0000019F"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0000000000000000000"/>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微软雅黑">
    <w:altName w:val="方正黑体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eastAsia="宋体"/>
        <w:sz w:val="28"/>
        <w:szCs w:val="28"/>
      </w:rPr>
    </w:pPr>
    <w:r>
      <w:rPr>
        <w:rFonts w:ascii="宋体" w:hAnsi="宋体" w:eastAsia="宋体" w:cs="宋体"/>
        <w:sz w:val="28"/>
        <w:szCs w:val="28"/>
      </w:rPr>
      <w:t xml:space="preserve">                                                                                  —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1</w:t>
    </w:r>
    <w:r>
      <w:rPr>
        <w:rFonts w:ascii="宋体" w:hAnsi="宋体" w:eastAsia="宋体" w:cs="宋体"/>
        <w:sz w:val="28"/>
        <w:szCs w:val="28"/>
      </w:rPr>
      <w:fldChar w:fldCharType="end"/>
    </w:r>
    <w:r>
      <w:rPr>
        <w:rFonts w:ascii="宋体" w:hAnsi="宋体" w:eastAsia="宋体" w:cs="宋体"/>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oNotHyphenateCaps/>
  <w:drawingGridHorizontalSpacing w:val="170"/>
  <w:drawingGridVerticalSpacing w:val="579"/>
  <w:displayHorizontalDrawingGridEvery w:val="1"/>
  <w:displayVerticalDrawingGridEvery w:val="1"/>
  <w:noPunctuationKerning w:val="true"/>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FE8"/>
    <w:rsid w:val="00001CB7"/>
    <w:rsid w:val="0000206B"/>
    <w:rsid w:val="00002DCB"/>
    <w:rsid w:val="000033F0"/>
    <w:rsid w:val="0000752C"/>
    <w:rsid w:val="000104A3"/>
    <w:rsid w:val="000122FB"/>
    <w:rsid w:val="00012743"/>
    <w:rsid w:val="00012F04"/>
    <w:rsid w:val="00016259"/>
    <w:rsid w:val="000171D9"/>
    <w:rsid w:val="00020989"/>
    <w:rsid w:val="000220BA"/>
    <w:rsid w:val="000243F6"/>
    <w:rsid w:val="00025B79"/>
    <w:rsid w:val="00034ED8"/>
    <w:rsid w:val="00042025"/>
    <w:rsid w:val="00042070"/>
    <w:rsid w:val="000434FA"/>
    <w:rsid w:val="00047CAE"/>
    <w:rsid w:val="00051FE8"/>
    <w:rsid w:val="00052C13"/>
    <w:rsid w:val="00052E2D"/>
    <w:rsid w:val="00053DF7"/>
    <w:rsid w:val="00054343"/>
    <w:rsid w:val="00056E13"/>
    <w:rsid w:val="000638C0"/>
    <w:rsid w:val="0006744F"/>
    <w:rsid w:val="00077E3E"/>
    <w:rsid w:val="00085701"/>
    <w:rsid w:val="00087B3C"/>
    <w:rsid w:val="0009135C"/>
    <w:rsid w:val="0009177B"/>
    <w:rsid w:val="0009558B"/>
    <w:rsid w:val="000A027D"/>
    <w:rsid w:val="000A0DB2"/>
    <w:rsid w:val="000A2312"/>
    <w:rsid w:val="000A47C9"/>
    <w:rsid w:val="000A59E4"/>
    <w:rsid w:val="000B0644"/>
    <w:rsid w:val="000B257C"/>
    <w:rsid w:val="000B583C"/>
    <w:rsid w:val="000B6871"/>
    <w:rsid w:val="000B6A96"/>
    <w:rsid w:val="000B7537"/>
    <w:rsid w:val="000C55D5"/>
    <w:rsid w:val="000C5A16"/>
    <w:rsid w:val="000D0AAE"/>
    <w:rsid w:val="000D1577"/>
    <w:rsid w:val="000D40BE"/>
    <w:rsid w:val="000D509E"/>
    <w:rsid w:val="000D5134"/>
    <w:rsid w:val="000D5E6E"/>
    <w:rsid w:val="000D71E1"/>
    <w:rsid w:val="000D7D07"/>
    <w:rsid w:val="000E3038"/>
    <w:rsid w:val="000F0644"/>
    <w:rsid w:val="000F24AE"/>
    <w:rsid w:val="000F4144"/>
    <w:rsid w:val="0010284E"/>
    <w:rsid w:val="00110FB6"/>
    <w:rsid w:val="00112A0E"/>
    <w:rsid w:val="001131B9"/>
    <w:rsid w:val="0012132E"/>
    <w:rsid w:val="001214BE"/>
    <w:rsid w:val="00123FB0"/>
    <w:rsid w:val="001267A3"/>
    <w:rsid w:val="00130865"/>
    <w:rsid w:val="001318EF"/>
    <w:rsid w:val="00133689"/>
    <w:rsid w:val="00134015"/>
    <w:rsid w:val="001343A1"/>
    <w:rsid w:val="00134BCA"/>
    <w:rsid w:val="0013783B"/>
    <w:rsid w:val="00143734"/>
    <w:rsid w:val="00143A61"/>
    <w:rsid w:val="0014767F"/>
    <w:rsid w:val="00151C56"/>
    <w:rsid w:val="00151E08"/>
    <w:rsid w:val="00152B32"/>
    <w:rsid w:val="00154BCE"/>
    <w:rsid w:val="00154D8F"/>
    <w:rsid w:val="00156283"/>
    <w:rsid w:val="00156343"/>
    <w:rsid w:val="0015659F"/>
    <w:rsid w:val="001609BF"/>
    <w:rsid w:val="00164883"/>
    <w:rsid w:val="00171EAE"/>
    <w:rsid w:val="00175F7F"/>
    <w:rsid w:val="001805A7"/>
    <w:rsid w:val="00182E9D"/>
    <w:rsid w:val="00183F7F"/>
    <w:rsid w:val="00186729"/>
    <w:rsid w:val="00186B34"/>
    <w:rsid w:val="00192924"/>
    <w:rsid w:val="0019685E"/>
    <w:rsid w:val="00197D2A"/>
    <w:rsid w:val="001A3B26"/>
    <w:rsid w:val="001A410D"/>
    <w:rsid w:val="001A4E82"/>
    <w:rsid w:val="001A6504"/>
    <w:rsid w:val="001B027F"/>
    <w:rsid w:val="001B18BB"/>
    <w:rsid w:val="001B29FB"/>
    <w:rsid w:val="001B5343"/>
    <w:rsid w:val="001B5748"/>
    <w:rsid w:val="001C2274"/>
    <w:rsid w:val="001C4E60"/>
    <w:rsid w:val="001C6799"/>
    <w:rsid w:val="001C681C"/>
    <w:rsid w:val="001C7318"/>
    <w:rsid w:val="001D0A0D"/>
    <w:rsid w:val="001D119D"/>
    <w:rsid w:val="001D27E2"/>
    <w:rsid w:val="001D517D"/>
    <w:rsid w:val="001D6387"/>
    <w:rsid w:val="001E182A"/>
    <w:rsid w:val="001E2271"/>
    <w:rsid w:val="001E3192"/>
    <w:rsid w:val="001E5A18"/>
    <w:rsid w:val="001F260F"/>
    <w:rsid w:val="001F4252"/>
    <w:rsid w:val="001F70A1"/>
    <w:rsid w:val="001F7772"/>
    <w:rsid w:val="001F79DE"/>
    <w:rsid w:val="001F7BB9"/>
    <w:rsid w:val="001F7F27"/>
    <w:rsid w:val="0020077D"/>
    <w:rsid w:val="00200CCC"/>
    <w:rsid w:val="002024F4"/>
    <w:rsid w:val="00203B80"/>
    <w:rsid w:val="002044ED"/>
    <w:rsid w:val="00210AD1"/>
    <w:rsid w:val="0021179D"/>
    <w:rsid w:val="00211CFF"/>
    <w:rsid w:val="00215930"/>
    <w:rsid w:val="00221535"/>
    <w:rsid w:val="00221F67"/>
    <w:rsid w:val="00226632"/>
    <w:rsid w:val="00226D11"/>
    <w:rsid w:val="002303B5"/>
    <w:rsid w:val="00233B1F"/>
    <w:rsid w:val="00234A26"/>
    <w:rsid w:val="002351B9"/>
    <w:rsid w:val="00245860"/>
    <w:rsid w:val="0024627B"/>
    <w:rsid w:val="00247CD5"/>
    <w:rsid w:val="0025013D"/>
    <w:rsid w:val="00250CE5"/>
    <w:rsid w:val="00251EFB"/>
    <w:rsid w:val="00254FB0"/>
    <w:rsid w:val="00261D9E"/>
    <w:rsid w:val="002625A6"/>
    <w:rsid w:val="00262CBC"/>
    <w:rsid w:val="002635C0"/>
    <w:rsid w:val="00270CCB"/>
    <w:rsid w:val="00270D4C"/>
    <w:rsid w:val="00272142"/>
    <w:rsid w:val="0027324E"/>
    <w:rsid w:val="00275EBF"/>
    <w:rsid w:val="00277BF6"/>
    <w:rsid w:val="00277CC8"/>
    <w:rsid w:val="00281CF0"/>
    <w:rsid w:val="0028245D"/>
    <w:rsid w:val="00290BED"/>
    <w:rsid w:val="00295E7B"/>
    <w:rsid w:val="00296D21"/>
    <w:rsid w:val="002A00C0"/>
    <w:rsid w:val="002A2FCC"/>
    <w:rsid w:val="002A36BA"/>
    <w:rsid w:val="002A7BDD"/>
    <w:rsid w:val="002B05D9"/>
    <w:rsid w:val="002B060E"/>
    <w:rsid w:val="002B2926"/>
    <w:rsid w:val="002B6886"/>
    <w:rsid w:val="002C37AC"/>
    <w:rsid w:val="002C4340"/>
    <w:rsid w:val="002C524A"/>
    <w:rsid w:val="002D3E2B"/>
    <w:rsid w:val="002E1078"/>
    <w:rsid w:val="002E1CF6"/>
    <w:rsid w:val="002E2EC7"/>
    <w:rsid w:val="002E6063"/>
    <w:rsid w:val="002F05E4"/>
    <w:rsid w:val="002F2E95"/>
    <w:rsid w:val="002F47B4"/>
    <w:rsid w:val="002F4DC8"/>
    <w:rsid w:val="002F6B42"/>
    <w:rsid w:val="002F7139"/>
    <w:rsid w:val="00300C43"/>
    <w:rsid w:val="00304B63"/>
    <w:rsid w:val="00316CCB"/>
    <w:rsid w:val="003178D8"/>
    <w:rsid w:val="0032107A"/>
    <w:rsid w:val="00324687"/>
    <w:rsid w:val="003271EA"/>
    <w:rsid w:val="00330EF1"/>
    <w:rsid w:val="00333303"/>
    <w:rsid w:val="003372CF"/>
    <w:rsid w:val="00337E1A"/>
    <w:rsid w:val="0034428A"/>
    <w:rsid w:val="003454F8"/>
    <w:rsid w:val="00347AFC"/>
    <w:rsid w:val="00353196"/>
    <w:rsid w:val="00367DF4"/>
    <w:rsid w:val="00371251"/>
    <w:rsid w:val="00373BBD"/>
    <w:rsid w:val="00374A9F"/>
    <w:rsid w:val="00375729"/>
    <w:rsid w:val="0037671A"/>
    <w:rsid w:val="003802DE"/>
    <w:rsid w:val="00380AD0"/>
    <w:rsid w:val="00383719"/>
    <w:rsid w:val="00387D40"/>
    <w:rsid w:val="003946C7"/>
    <w:rsid w:val="0039786D"/>
    <w:rsid w:val="00397AA3"/>
    <w:rsid w:val="003A063C"/>
    <w:rsid w:val="003A137D"/>
    <w:rsid w:val="003A4B58"/>
    <w:rsid w:val="003A539F"/>
    <w:rsid w:val="003A6611"/>
    <w:rsid w:val="003B4103"/>
    <w:rsid w:val="003B4E0E"/>
    <w:rsid w:val="003B54BD"/>
    <w:rsid w:val="003C0EF8"/>
    <w:rsid w:val="003C0F52"/>
    <w:rsid w:val="003C1080"/>
    <w:rsid w:val="003C12CE"/>
    <w:rsid w:val="003C2A8D"/>
    <w:rsid w:val="003D16E9"/>
    <w:rsid w:val="003D18BB"/>
    <w:rsid w:val="003D4D1B"/>
    <w:rsid w:val="003D4EFB"/>
    <w:rsid w:val="003D5D0C"/>
    <w:rsid w:val="003F166F"/>
    <w:rsid w:val="003F18DC"/>
    <w:rsid w:val="003F1967"/>
    <w:rsid w:val="003F602D"/>
    <w:rsid w:val="003F7580"/>
    <w:rsid w:val="0040404E"/>
    <w:rsid w:val="004055E7"/>
    <w:rsid w:val="0040599A"/>
    <w:rsid w:val="0040688D"/>
    <w:rsid w:val="00412B16"/>
    <w:rsid w:val="004164FB"/>
    <w:rsid w:val="00421A2F"/>
    <w:rsid w:val="00422069"/>
    <w:rsid w:val="0042263B"/>
    <w:rsid w:val="00423D9B"/>
    <w:rsid w:val="004305C0"/>
    <w:rsid w:val="0043112D"/>
    <w:rsid w:val="00432968"/>
    <w:rsid w:val="004330CA"/>
    <w:rsid w:val="00442784"/>
    <w:rsid w:val="00443268"/>
    <w:rsid w:val="00444FF7"/>
    <w:rsid w:val="00445306"/>
    <w:rsid w:val="00447068"/>
    <w:rsid w:val="00447FE8"/>
    <w:rsid w:val="004525A1"/>
    <w:rsid w:val="00453620"/>
    <w:rsid w:val="004545FB"/>
    <w:rsid w:val="0045471D"/>
    <w:rsid w:val="0045678B"/>
    <w:rsid w:val="004600BA"/>
    <w:rsid w:val="004606A6"/>
    <w:rsid w:val="004629DE"/>
    <w:rsid w:val="00462A06"/>
    <w:rsid w:val="00466AD7"/>
    <w:rsid w:val="00471E51"/>
    <w:rsid w:val="004721CC"/>
    <w:rsid w:val="004807D2"/>
    <w:rsid w:val="00483DC0"/>
    <w:rsid w:val="00487565"/>
    <w:rsid w:val="0048780E"/>
    <w:rsid w:val="00492B7D"/>
    <w:rsid w:val="00493869"/>
    <w:rsid w:val="0049397E"/>
    <w:rsid w:val="00496341"/>
    <w:rsid w:val="004A0B88"/>
    <w:rsid w:val="004A14A9"/>
    <w:rsid w:val="004A1618"/>
    <w:rsid w:val="004A503A"/>
    <w:rsid w:val="004A612E"/>
    <w:rsid w:val="004A78FA"/>
    <w:rsid w:val="004B5232"/>
    <w:rsid w:val="004B64D6"/>
    <w:rsid w:val="004B7A2C"/>
    <w:rsid w:val="004C1783"/>
    <w:rsid w:val="004C29FB"/>
    <w:rsid w:val="004C4A95"/>
    <w:rsid w:val="004C50A3"/>
    <w:rsid w:val="004C59E2"/>
    <w:rsid w:val="004C6ADE"/>
    <w:rsid w:val="004D26AC"/>
    <w:rsid w:val="004D597E"/>
    <w:rsid w:val="004D5A11"/>
    <w:rsid w:val="004D64CD"/>
    <w:rsid w:val="004E472B"/>
    <w:rsid w:val="004E5236"/>
    <w:rsid w:val="004E5BD0"/>
    <w:rsid w:val="004E66E9"/>
    <w:rsid w:val="004F1F54"/>
    <w:rsid w:val="004F6C2C"/>
    <w:rsid w:val="0050127A"/>
    <w:rsid w:val="0050528A"/>
    <w:rsid w:val="00510CE2"/>
    <w:rsid w:val="00513411"/>
    <w:rsid w:val="005136DD"/>
    <w:rsid w:val="00514E0B"/>
    <w:rsid w:val="005157BD"/>
    <w:rsid w:val="00523447"/>
    <w:rsid w:val="00523BFE"/>
    <w:rsid w:val="00523CEF"/>
    <w:rsid w:val="005250E6"/>
    <w:rsid w:val="00530AE4"/>
    <w:rsid w:val="0054290D"/>
    <w:rsid w:val="00542D5A"/>
    <w:rsid w:val="00550DD8"/>
    <w:rsid w:val="00551100"/>
    <w:rsid w:val="005538D3"/>
    <w:rsid w:val="00555418"/>
    <w:rsid w:val="005559DD"/>
    <w:rsid w:val="00555BD3"/>
    <w:rsid w:val="00566221"/>
    <w:rsid w:val="0057683A"/>
    <w:rsid w:val="00581BCE"/>
    <w:rsid w:val="005846C8"/>
    <w:rsid w:val="0059001F"/>
    <w:rsid w:val="00590B42"/>
    <w:rsid w:val="00591C79"/>
    <w:rsid w:val="00593C0F"/>
    <w:rsid w:val="0059680B"/>
    <w:rsid w:val="005A0BF7"/>
    <w:rsid w:val="005A5008"/>
    <w:rsid w:val="005A6FB5"/>
    <w:rsid w:val="005B15D0"/>
    <w:rsid w:val="005B168D"/>
    <w:rsid w:val="005B23B5"/>
    <w:rsid w:val="005B2F99"/>
    <w:rsid w:val="005B3B0B"/>
    <w:rsid w:val="005B5DD2"/>
    <w:rsid w:val="005B7E85"/>
    <w:rsid w:val="005C2514"/>
    <w:rsid w:val="005C29F6"/>
    <w:rsid w:val="005C5EEA"/>
    <w:rsid w:val="005D65E2"/>
    <w:rsid w:val="005E3C1B"/>
    <w:rsid w:val="005E7407"/>
    <w:rsid w:val="005F4493"/>
    <w:rsid w:val="005F46DB"/>
    <w:rsid w:val="005F4CB7"/>
    <w:rsid w:val="005F4CCE"/>
    <w:rsid w:val="0060025C"/>
    <w:rsid w:val="006014D4"/>
    <w:rsid w:val="00602FE6"/>
    <w:rsid w:val="00603201"/>
    <w:rsid w:val="00605B18"/>
    <w:rsid w:val="00607759"/>
    <w:rsid w:val="00615429"/>
    <w:rsid w:val="00617FDB"/>
    <w:rsid w:val="00620A82"/>
    <w:rsid w:val="00620F27"/>
    <w:rsid w:val="006232ED"/>
    <w:rsid w:val="00624FC1"/>
    <w:rsid w:val="00643A04"/>
    <w:rsid w:val="0064441E"/>
    <w:rsid w:val="006447B5"/>
    <w:rsid w:val="00644C0B"/>
    <w:rsid w:val="006524F2"/>
    <w:rsid w:val="00653B55"/>
    <w:rsid w:val="00661012"/>
    <w:rsid w:val="006645D2"/>
    <w:rsid w:val="006649CF"/>
    <w:rsid w:val="0067024F"/>
    <w:rsid w:val="006747B5"/>
    <w:rsid w:val="00676CD8"/>
    <w:rsid w:val="006775F0"/>
    <w:rsid w:val="00681CE1"/>
    <w:rsid w:val="00682763"/>
    <w:rsid w:val="00683A4C"/>
    <w:rsid w:val="00687689"/>
    <w:rsid w:val="00687D32"/>
    <w:rsid w:val="00692B83"/>
    <w:rsid w:val="006932A7"/>
    <w:rsid w:val="006974A2"/>
    <w:rsid w:val="006A075E"/>
    <w:rsid w:val="006A0F34"/>
    <w:rsid w:val="006A6374"/>
    <w:rsid w:val="006A7FD7"/>
    <w:rsid w:val="006B653E"/>
    <w:rsid w:val="006C151C"/>
    <w:rsid w:val="006C2048"/>
    <w:rsid w:val="006C413A"/>
    <w:rsid w:val="006C6D43"/>
    <w:rsid w:val="006C7190"/>
    <w:rsid w:val="006D25B2"/>
    <w:rsid w:val="006D6101"/>
    <w:rsid w:val="006D711A"/>
    <w:rsid w:val="006E1A17"/>
    <w:rsid w:val="006E28FA"/>
    <w:rsid w:val="006E52D7"/>
    <w:rsid w:val="006E6E63"/>
    <w:rsid w:val="006F31A7"/>
    <w:rsid w:val="006F36B2"/>
    <w:rsid w:val="006F40B4"/>
    <w:rsid w:val="006F5243"/>
    <w:rsid w:val="006F5478"/>
    <w:rsid w:val="006F71A2"/>
    <w:rsid w:val="00701E85"/>
    <w:rsid w:val="00704176"/>
    <w:rsid w:val="00706782"/>
    <w:rsid w:val="007130B0"/>
    <w:rsid w:val="0071435F"/>
    <w:rsid w:val="007215DE"/>
    <w:rsid w:val="007246D1"/>
    <w:rsid w:val="00725918"/>
    <w:rsid w:val="00727525"/>
    <w:rsid w:val="007278EE"/>
    <w:rsid w:val="00730512"/>
    <w:rsid w:val="00731085"/>
    <w:rsid w:val="00734E64"/>
    <w:rsid w:val="007352AB"/>
    <w:rsid w:val="00737D53"/>
    <w:rsid w:val="0074060B"/>
    <w:rsid w:val="00742498"/>
    <w:rsid w:val="00752684"/>
    <w:rsid w:val="00753304"/>
    <w:rsid w:val="00754AD0"/>
    <w:rsid w:val="007561B5"/>
    <w:rsid w:val="007567C1"/>
    <w:rsid w:val="0075696B"/>
    <w:rsid w:val="00757750"/>
    <w:rsid w:val="00761573"/>
    <w:rsid w:val="007622A2"/>
    <w:rsid w:val="00762D8E"/>
    <w:rsid w:val="00763129"/>
    <w:rsid w:val="00763AFC"/>
    <w:rsid w:val="00763F42"/>
    <w:rsid w:val="007640A5"/>
    <w:rsid w:val="0077032C"/>
    <w:rsid w:val="0077095F"/>
    <w:rsid w:val="00772E37"/>
    <w:rsid w:val="007744D0"/>
    <w:rsid w:val="00775D7E"/>
    <w:rsid w:val="00780151"/>
    <w:rsid w:val="00781FEB"/>
    <w:rsid w:val="0078575F"/>
    <w:rsid w:val="0078727C"/>
    <w:rsid w:val="00790C38"/>
    <w:rsid w:val="00791CD5"/>
    <w:rsid w:val="00793551"/>
    <w:rsid w:val="00794863"/>
    <w:rsid w:val="007A187E"/>
    <w:rsid w:val="007B0159"/>
    <w:rsid w:val="007B15A4"/>
    <w:rsid w:val="007B217B"/>
    <w:rsid w:val="007B274C"/>
    <w:rsid w:val="007B2992"/>
    <w:rsid w:val="007B33FC"/>
    <w:rsid w:val="007B3430"/>
    <w:rsid w:val="007B3D4C"/>
    <w:rsid w:val="007C10A6"/>
    <w:rsid w:val="007C19C3"/>
    <w:rsid w:val="007C20F9"/>
    <w:rsid w:val="007C4B04"/>
    <w:rsid w:val="007C5010"/>
    <w:rsid w:val="007C5173"/>
    <w:rsid w:val="007C6F72"/>
    <w:rsid w:val="007D0487"/>
    <w:rsid w:val="007D26EF"/>
    <w:rsid w:val="007D460D"/>
    <w:rsid w:val="007E1569"/>
    <w:rsid w:val="007E1B14"/>
    <w:rsid w:val="007E2D21"/>
    <w:rsid w:val="007E38F5"/>
    <w:rsid w:val="007E5798"/>
    <w:rsid w:val="007E7DE8"/>
    <w:rsid w:val="007F4461"/>
    <w:rsid w:val="007F7585"/>
    <w:rsid w:val="00801ED3"/>
    <w:rsid w:val="008034A3"/>
    <w:rsid w:val="0080681C"/>
    <w:rsid w:val="008108C2"/>
    <w:rsid w:val="008118B3"/>
    <w:rsid w:val="00817434"/>
    <w:rsid w:val="008218A8"/>
    <w:rsid w:val="008225D4"/>
    <w:rsid w:val="00823376"/>
    <w:rsid w:val="00831873"/>
    <w:rsid w:val="00846271"/>
    <w:rsid w:val="0084676D"/>
    <w:rsid w:val="00847F6E"/>
    <w:rsid w:val="00852488"/>
    <w:rsid w:val="00853240"/>
    <w:rsid w:val="00853991"/>
    <w:rsid w:val="008561D7"/>
    <w:rsid w:val="00863D7C"/>
    <w:rsid w:val="00866D29"/>
    <w:rsid w:val="00870859"/>
    <w:rsid w:val="00872093"/>
    <w:rsid w:val="00880384"/>
    <w:rsid w:val="00881644"/>
    <w:rsid w:val="0088224D"/>
    <w:rsid w:val="0088373C"/>
    <w:rsid w:val="00893273"/>
    <w:rsid w:val="00894915"/>
    <w:rsid w:val="00895479"/>
    <w:rsid w:val="008955B2"/>
    <w:rsid w:val="00896D93"/>
    <w:rsid w:val="008B39E4"/>
    <w:rsid w:val="008B492E"/>
    <w:rsid w:val="008B5F3A"/>
    <w:rsid w:val="008B7857"/>
    <w:rsid w:val="008C0DA3"/>
    <w:rsid w:val="008C28DD"/>
    <w:rsid w:val="008C54C1"/>
    <w:rsid w:val="008D00CF"/>
    <w:rsid w:val="008D01CA"/>
    <w:rsid w:val="008D1B40"/>
    <w:rsid w:val="008D2DD0"/>
    <w:rsid w:val="008D7B4E"/>
    <w:rsid w:val="008D7C8D"/>
    <w:rsid w:val="008E1F7F"/>
    <w:rsid w:val="008E4714"/>
    <w:rsid w:val="008E4D42"/>
    <w:rsid w:val="008F058A"/>
    <w:rsid w:val="008F0703"/>
    <w:rsid w:val="008F4792"/>
    <w:rsid w:val="008F4825"/>
    <w:rsid w:val="008F4A02"/>
    <w:rsid w:val="008F558E"/>
    <w:rsid w:val="008F72E9"/>
    <w:rsid w:val="00902075"/>
    <w:rsid w:val="009038A5"/>
    <w:rsid w:val="00903DAC"/>
    <w:rsid w:val="00904B25"/>
    <w:rsid w:val="00911619"/>
    <w:rsid w:val="009119E3"/>
    <w:rsid w:val="00917DEC"/>
    <w:rsid w:val="0093483C"/>
    <w:rsid w:val="009355B9"/>
    <w:rsid w:val="00935A61"/>
    <w:rsid w:val="009404AC"/>
    <w:rsid w:val="009420D2"/>
    <w:rsid w:val="0094398E"/>
    <w:rsid w:val="009567ED"/>
    <w:rsid w:val="00961EBE"/>
    <w:rsid w:val="00962426"/>
    <w:rsid w:val="00962816"/>
    <w:rsid w:val="00963864"/>
    <w:rsid w:val="00965992"/>
    <w:rsid w:val="0096712E"/>
    <w:rsid w:val="00970144"/>
    <w:rsid w:val="00972167"/>
    <w:rsid w:val="00972313"/>
    <w:rsid w:val="00972957"/>
    <w:rsid w:val="009736E4"/>
    <w:rsid w:val="00980321"/>
    <w:rsid w:val="00984DD9"/>
    <w:rsid w:val="009857D4"/>
    <w:rsid w:val="0099152F"/>
    <w:rsid w:val="009920B7"/>
    <w:rsid w:val="009963A1"/>
    <w:rsid w:val="009A4C2C"/>
    <w:rsid w:val="009A5C7D"/>
    <w:rsid w:val="009A6C28"/>
    <w:rsid w:val="009A7258"/>
    <w:rsid w:val="009B192A"/>
    <w:rsid w:val="009B5E80"/>
    <w:rsid w:val="009B6501"/>
    <w:rsid w:val="009C1CC6"/>
    <w:rsid w:val="009C294B"/>
    <w:rsid w:val="009C6B0C"/>
    <w:rsid w:val="009D099A"/>
    <w:rsid w:val="009D7D14"/>
    <w:rsid w:val="009D7EA4"/>
    <w:rsid w:val="009E051B"/>
    <w:rsid w:val="009E08B4"/>
    <w:rsid w:val="009E1982"/>
    <w:rsid w:val="009E202F"/>
    <w:rsid w:val="009E29B1"/>
    <w:rsid w:val="009E30D6"/>
    <w:rsid w:val="009E52A8"/>
    <w:rsid w:val="009E6982"/>
    <w:rsid w:val="009E6F52"/>
    <w:rsid w:val="009E75D2"/>
    <w:rsid w:val="009E7880"/>
    <w:rsid w:val="009F078F"/>
    <w:rsid w:val="009F0C27"/>
    <w:rsid w:val="009F2E13"/>
    <w:rsid w:val="009F32F0"/>
    <w:rsid w:val="009F4318"/>
    <w:rsid w:val="009F5BD3"/>
    <w:rsid w:val="009F6FBB"/>
    <w:rsid w:val="00A06578"/>
    <w:rsid w:val="00A06D0E"/>
    <w:rsid w:val="00A1009D"/>
    <w:rsid w:val="00A10E3D"/>
    <w:rsid w:val="00A11094"/>
    <w:rsid w:val="00A1218B"/>
    <w:rsid w:val="00A15413"/>
    <w:rsid w:val="00A175B1"/>
    <w:rsid w:val="00A3258C"/>
    <w:rsid w:val="00A34461"/>
    <w:rsid w:val="00A40C51"/>
    <w:rsid w:val="00A42130"/>
    <w:rsid w:val="00A4518B"/>
    <w:rsid w:val="00A54770"/>
    <w:rsid w:val="00A5717C"/>
    <w:rsid w:val="00A578E9"/>
    <w:rsid w:val="00A60481"/>
    <w:rsid w:val="00A6082A"/>
    <w:rsid w:val="00A62850"/>
    <w:rsid w:val="00A656EF"/>
    <w:rsid w:val="00A65CEF"/>
    <w:rsid w:val="00A72913"/>
    <w:rsid w:val="00A740BF"/>
    <w:rsid w:val="00A7778B"/>
    <w:rsid w:val="00A84479"/>
    <w:rsid w:val="00A86CB2"/>
    <w:rsid w:val="00A91229"/>
    <w:rsid w:val="00A91349"/>
    <w:rsid w:val="00A96536"/>
    <w:rsid w:val="00AA331C"/>
    <w:rsid w:val="00AA551C"/>
    <w:rsid w:val="00AA7D71"/>
    <w:rsid w:val="00AB0972"/>
    <w:rsid w:val="00AB1877"/>
    <w:rsid w:val="00AB24A8"/>
    <w:rsid w:val="00AB67AF"/>
    <w:rsid w:val="00AB6F79"/>
    <w:rsid w:val="00AC1D0C"/>
    <w:rsid w:val="00AC1F4A"/>
    <w:rsid w:val="00AC2E99"/>
    <w:rsid w:val="00AC30AC"/>
    <w:rsid w:val="00AC7D37"/>
    <w:rsid w:val="00AD538E"/>
    <w:rsid w:val="00AD642A"/>
    <w:rsid w:val="00AD7E0A"/>
    <w:rsid w:val="00AE2BFB"/>
    <w:rsid w:val="00AE365B"/>
    <w:rsid w:val="00AE777B"/>
    <w:rsid w:val="00AF2D97"/>
    <w:rsid w:val="00AF32DE"/>
    <w:rsid w:val="00AF48A1"/>
    <w:rsid w:val="00AF66FC"/>
    <w:rsid w:val="00AF7477"/>
    <w:rsid w:val="00B016E7"/>
    <w:rsid w:val="00B017F2"/>
    <w:rsid w:val="00B01C70"/>
    <w:rsid w:val="00B01EB7"/>
    <w:rsid w:val="00B034B2"/>
    <w:rsid w:val="00B10DAA"/>
    <w:rsid w:val="00B1342A"/>
    <w:rsid w:val="00B16177"/>
    <w:rsid w:val="00B17A2D"/>
    <w:rsid w:val="00B21578"/>
    <w:rsid w:val="00B22175"/>
    <w:rsid w:val="00B241A0"/>
    <w:rsid w:val="00B32636"/>
    <w:rsid w:val="00B327CE"/>
    <w:rsid w:val="00B3383E"/>
    <w:rsid w:val="00B34B69"/>
    <w:rsid w:val="00B3550D"/>
    <w:rsid w:val="00B4128F"/>
    <w:rsid w:val="00B43F15"/>
    <w:rsid w:val="00B4434C"/>
    <w:rsid w:val="00B44E56"/>
    <w:rsid w:val="00B4572F"/>
    <w:rsid w:val="00B51AFB"/>
    <w:rsid w:val="00B52562"/>
    <w:rsid w:val="00B54AB1"/>
    <w:rsid w:val="00B55371"/>
    <w:rsid w:val="00B55796"/>
    <w:rsid w:val="00B60A89"/>
    <w:rsid w:val="00B61D32"/>
    <w:rsid w:val="00B65196"/>
    <w:rsid w:val="00B67148"/>
    <w:rsid w:val="00B72D22"/>
    <w:rsid w:val="00B75E2F"/>
    <w:rsid w:val="00B80336"/>
    <w:rsid w:val="00B83E31"/>
    <w:rsid w:val="00B8566E"/>
    <w:rsid w:val="00B900F6"/>
    <w:rsid w:val="00B90E86"/>
    <w:rsid w:val="00B925D0"/>
    <w:rsid w:val="00B947F1"/>
    <w:rsid w:val="00BA2483"/>
    <w:rsid w:val="00BA3DA4"/>
    <w:rsid w:val="00BA60DF"/>
    <w:rsid w:val="00BA7487"/>
    <w:rsid w:val="00BB4852"/>
    <w:rsid w:val="00BB57F8"/>
    <w:rsid w:val="00BC0CB7"/>
    <w:rsid w:val="00BC1047"/>
    <w:rsid w:val="00BC2930"/>
    <w:rsid w:val="00BC2F5D"/>
    <w:rsid w:val="00BC4773"/>
    <w:rsid w:val="00BC6A37"/>
    <w:rsid w:val="00BD1892"/>
    <w:rsid w:val="00BD1F3C"/>
    <w:rsid w:val="00BD239C"/>
    <w:rsid w:val="00BD2DA8"/>
    <w:rsid w:val="00BD2EC5"/>
    <w:rsid w:val="00BD649D"/>
    <w:rsid w:val="00BE1397"/>
    <w:rsid w:val="00BE46DC"/>
    <w:rsid w:val="00BE5E0F"/>
    <w:rsid w:val="00BF11A9"/>
    <w:rsid w:val="00BF4F24"/>
    <w:rsid w:val="00BF554E"/>
    <w:rsid w:val="00BF7753"/>
    <w:rsid w:val="00C02F6A"/>
    <w:rsid w:val="00C03AB6"/>
    <w:rsid w:val="00C064EF"/>
    <w:rsid w:val="00C06E52"/>
    <w:rsid w:val="00C11DDC"/>
    <w:rsid w:val="00C142E5"/>
    <w:rsid w:val="00C15720"/>
    <w:rsid w:val="00C16B2A"/>
    <w:rsid w:val="00C17BDB"/>
    <w:rsid w:val="00C2648B"/>
    <w:rsid w:val="00C267BF"/>
    <w:rsid w:val="00C30EF4"/>
    <w:rsid w:val="00C313D4"/>
    <w:rsid w:val="00C31E49"/>
    <w:rsid w:val="00C32DCC"/>
    <w:rsid w:val="00C355E6"/>
    <w:rsid w:val="00C36EE5"/>
    <w:rsid w:val="00C376A1"/>
    <w:rsid w:val="00C376F7"/>
    <w:rsid w:val="00C41479"/>
    <w:rsid w:val="00C4260B"/>
    <w:rsid w:val="00C44451"/>
    <w:rsid w:val="00C46FBC"/>
    <w:rsid w:val="00C471E9"/>
    <w:rsid w:val="00C47D88"/>
    <w:rsid w:val="00C50759"/>
    <w:rsid w:val="00C51BE8"/>
    <w:rsid w:val="00C535AA"/>
    <w:rsid w:val="00C614EA"/>
    <w:rsid w:val="00C64977"/>
    <w:rsid w:val="00C67CE6"/>
    <w:rsid w:val="00C732FF"/>
    <w:rsid w:val="00C74DAE"/>
    <w:rsid w:val="00C75FB3"/>
    <w:rsid w:val="00C818B3"/>
    <w:rsid w:val="00C81F8B"/>
    <w:rsid w:val="00C83611"/>
    <w:rsid w:val="00C83B76"/>
    <w:rsid w:val="00C9089D"/>
    <w:rsid w:val="00C929F4"/>
    <w:rsid w:val="00C97D7A"/>
    <w:rsid w:val="00CA3651"/>
    <w:rsid w:val="00CB1510"/>
    <w:rsid w:val="00CB364E"/>
    <w:rsid w:val="00CB402C"/>
    <w:rsid w:val="00CB587B"/>
    <w:rsid w:val="00CB677E"/>
    <w:rsid w:val="00CB760F"/>
    <w:rsid w:val="00CB76D9"/>
    <w:rsid w:val="00CC1DDC"/>
    <w:rsid w:val="00CC6B78"/>
    <w:rsid w:val="00CC7A80"/>
    <w:rsid w:val="00CE5C53"/>
    <w:rsid w:val="00CF3588"/>
    <w:rsid w:val="00D00E2A"/>
    <w:rsid w:val="00D04C33"/>
    <w:rsid w:val="00D07F4F"/>
    <w:rsid w:val="00D11838"/>
    <w:rsid w:val="00D14A13"/>
    <w:rsid w:val="00D1661B"/>
    <w:rsid w:val="00D16DD6"/>
    <w:rsid w:val="00D21B92"/>
    <w:rsid w:val="00D22745"/>
    <w:rsid w:val="00D23FF3"/>
    <w:rsid w:val="00D251D4"/>
    <w:rsid w:val="00D276B9"/>
    <w:rsid w:val="00D306A0"/>
    <w:rsid w:val="00D33EE4"/>
    <w:rsid w:val="00D341B0"/>
    <w:rsid w:val="00D363DB"/>
    <w:rsid w:val="00D4540C"/>
    <w:rsid w:val="00D55231"/>
    <w:rsid w:val="00D56F80"/>
    <w:rsid w:val="00D61935"/>
    <w:rsid w:val="00D6380B"/>
    <w:rsid w:val="00D64CC8"/>
    <w:rsid w:val="00D66BCB"/>
    <w:rsid w:val="00D670FE"/>
    <w:rsid w:val="00D67DB7"/>
    <w:rsid w:val="00D72254"/>
    <w:rsid w:val="00D74669"/>
    <w:rsid w:val="00D75755"/>
    <w:rsid w:val="00D76A97"/>
    <w:rsid w:val="00D82A84"/>
    <w:rsid w:val="00D8433F"/>
    <w:rsid w:val="00D8656F"/>
    <w:rsid w:val="00D91EB8"/>
    <w:rsid w:val="00D943CC"/>
    <w:rsid w:val="00DA3999"/>
    <w:rsid w:val="00DA52EA"/>
    <w:rsid w:val="00DB3814"/>
    <w:rsid w:val="00DB4A9B"/>
    <w:rsid w:val="00DB5A23"/>
    <w:rsid w:val="00DB5A89"/>
    <w:rsid w:val="00DB5EE6"/>
    <w:rsid w:val="00DB6974"/>
    <w:rsid w:val="00DB79F5"/>
    <w:rsid w:val="00DC0003"/>
    <w:rsid w:val="00DC0D1D"/>
    <w:rsid w:val="00DC18DE"/>
    <w:rsid w:val="00DC1E06"/>
    <w:rsid w:val="00DC2C35"/>
    <w:rsid w:val="00DC720F"/>
    <w:rsid w:val="00DC73DB"/>
    <w:rsid w:val="00DD1909"/>
    <w:rsid w:val="00DD4000"/>
    <w:rsid w:val="00DD7911"/>
    <w:rsid w:val="00DE24BE"/>
    <w:rsid w:val="00DE7FC6"/>
    <w:rsid w:val="00DF17E9"/>
    <w:rsid w:val="00DF4D0C"/>
    <w:rsid w:val="00DF5867"/>
    <w:rsid w:val="00E00E4F"/>
    <w:rsid w:val="00E02391"/>
    <w:rsid w:val="00E0444C"/>
    <w:rsid w:val="00E128A6"/>
    <w:rsid w:val="00E12B99"/>
    <w:rsid w:val="00E13CF2"/>
    <w:rsid w:val="00E1689D"/>
    <w:rsid w:val="00E1749D"/>
    <w:rsid w:val="00E226F1"/>
    <w:rsid w:val="00E272BA"/>
    <w:rsid w:val="00E27DDD"/>
    <w:rsid w:val="00E37628"/>
    <w:rsid w:val="00E45511"/>
    <w:rsid w:val="00E472C9"/>
    <w:rsid w:val="00E47F33"/>
    <w:rsid w:val="00E51A88"/>
    <w:rsid w:val="00E5454F"/>
    <w:rsid w:val="00E5484C"/>
    <w:rsid w:val="00E557F3"/>
    <w:rsid w:val="00E60815"/>
    <w:rsid w:val="00E73634"/>
    <w:rsid w:val="00E7375C"/>
    <w:rsid w:val="00E804C5"/>
    <w:rsid w:val="00E843F1"/>
    <w:rsid w:val="00E85F37"/>
    <w:rsid w:val="00E93458"/>
    <w:rsid w:val="00E94CF9"/>
    <w:rsid w:val="00E94F3C"/>
    <w:rsid w:val="00E96B38"/>
    <w:rsid w:val="00E97C70"/>
    <w:rsid w:val="00EA2E50"/>
    <w:rsid w:val="00EA4C4E"/>
    <w:rsid w:val="00EA5858"/>
    <w:rsid w:val="00EA6CC9"/>
    <w:rsid w:val="00EA7CC0"/>
    <w:rsid w:val="00EB16EE"/>
    <w:rsid w:val="00EB18AA"/>
    <w:rsid w:val="00EB48F5"/>
    <w:rsid w:val="00EC1BA7"/>
    <w:rsid w:val="00EC214F"/>
    <w:rsid w:val="00EC4A59"/>
    <w:rsid w:val="00EC6D5E"/>
    <w:rsid w:val="00ED08C6"/>
    <w:rsid w:val="00ED0CA4"/>
    <w:rsid w:val="00ED6A10"/>
    <w:rsid w:val="00ED7961"/>
    <w:rsid w:val="00EE09AE"/>
    <w:rsid w:val="00EE62DA"/>
    <w:rsid w:val="00EE770D"/>
    <w:rsid w:val="00EF068C"/>
    <w:rsid w:val="00EF192A"/>
    <w:rsid w:val="00EF3EA1"/>
    <w:rsid w:val="00EF5CD2"/>
    <w:rsid w:val="00EF77B0"/>
    <w:rsid w:val="00F0245A"/>
    <w:rsid w:val="00F03DB9"/>
    <w:rsid w:val="00F047C3"/>
    <w:rsid w:val="00F07904"/>
    <w:rsid w:val="00F13EEB"/>
    <w:rsid w:val="00F26027"/>
    <w:rsid w:val="00F267CE"/>
    <w:rsid w:val="00F27734"/>
    <w:rsid w:val="00F31804"/>
    <w:rsid w:val="00F34771"/>
    <w:rsid w:val="00F358D4"/>
    <w:rsid w:val="00F40895"/>
    <w:rsid w:val="00F411F0"/>
    <w:rsid w:val="00F476F8"/>
    <w:rsid w:val="00F527EF"/>
    <w:rsid w:val="00F5455C"/>
    <w:rsid w:val="00F545F1"/>
    <w:rsid w:val="00F60548"/>
    <w:rsid w:val="00F60B3B"/>
    <w:rsid w:val="00F62A6C"/>
    <w:rsid w:val="00F65FB7"/>
    <w:rsid w:val="00F7716F"/>
    <w:rsid w:val="00F81739"/>
    <w:rsid w:val="00F85A23"/>
    <w:rsid w:val="00F85EF4"/>
    <w:rsid w:val="00F8630B"/>
    <w:rsid w:val="00F86529"/>
    <w:rsid w:val="00F927CC"/>
    <w:rsid w:val="00F93032"/>
    <w:rsid w:val="00F96260"/>
    <w:rsid w:val="00FA16B8"/>
    <w:rsid w:val="00FA21B6"/>
    <w:rsid w:val="00FA3B78"/>
    <w:rsid w:val="00FA66AE"/>
    <w:rsid w:val="00FB0467"/>
    <w:rsid w:val="00FB2D1B"/>
    <w:rsid w:val="00FB473B"/>
    <w:rsid w:val="00FB47B7"/>
    <w:rsid w:val="00FB6D94"/>
    <w:rsid w:val="00FC4F4F"/>
    <w:rsid w:val="00FD0F89"/>
    <w:rsid w:val="00FD29BA"/>
    <w:rsid w:val="00FD3392"/>
    <w:rsid w:val="00FD3535"/>
    <w:rsid w:val="00FD4E5C"/>
    <w:rsid w:val="00FD579F"/>
    <w:rsid w:val="00FD62F2"/>
    <w:rsid w:val="00FD67F7"/>
    <w:rsid w:val="00FD74AC"/>
    <w:rsid w:val="00FE1B99"/>
    <w:rsid w:val="00FE39DA"/>
    <w:rsid w:val="00FE608D"/>
    <w:rsid w:val="00FF6802"/>
    <w:rsid w:val="00FF7F3A"/>
    <w:rsid w:val="5DF32335"/>
    <w:rsid w:val="679F00B1"/>
    <w:rsid w:val="6CF73666"/>
    <w:rsid w:val="73CBE32B"/>
    <w:rsid w:val="7FEBEB69"/>
    <w:rsid w:val="8D7F52C8"/>
    <w:rsid w:val="B0FD25C6"/>
    <w:rsid w:val="DEBBCCFD"/>
    <w:rsid w:val="EDAE35D6"/>
    <w:rsid w:val="EFF550F4"/>
    <w:rsid w:val="F6BF9E02"/>
    <w:rsid w:val="F7EE5635"/>
    <w:rsid w:val="F7F65B8B"/>
    <w:rsid w:val="FFBAFD1C"/>
    <w:rsid w:val="FFFF379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qFormat="1"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sdException w:qFormat="1" w:unhideWhenUsed="0" w:uiPriority="0" w:semiHidden="0" w:name="Emphasis"/>
    <w:lsdException w:qFormat="1" w:unhideWhenUsed="0"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napToGrid w:val="0"/>
      <w:spacing w:line="590" w:lineRule="atLeast"/>
      <w:ind w:firstLine="624"/>
      <w:jc w:val="both"/>
    </w:pPr>
    <w:rPr>
      <w:rFonts w:ascii="Times New Roman" w:hAnsi="Times New Roman" w:eastAsia="仿宋_GB2312" w:cs="Times New Roman"/>
      <w:kern w:val="0"/>
      <w:sz w:val="32"/>
      <w:szCs w:val="32"/>
      <w:lang w:val="en-US" w:eastAsia="zh-CN" w:bidi="ar-SA"/>
    </w:rPr>
  </w:style>
  <w:style w:type="paragraph" w:styleId="2">
    <w:name w:val="heading 2"/>
    <w:basedOn w:val="1"/>
    <w:next w:val="1"/>
    <w:link w:val="18"/>
    <w:qFormat/>
    <w:uiPriority w:val="99"/>
    <w:pPr>
      <w:keepNext/>
      <w:keepLines/>
      <w:autoSpaceDE/>
      <w:autoSpaceDN/>
      <w:snapToGrid/>
      <w:spacing w:line="560" w:lineRule="exact"/>
      <w:ind w:firstLine="200" w:firstLineChars="200"/>
      <w:outlineLvl w:val="1"/>
    </w:pPr>
    <w:rPr>
      <w:rFonts w:ascii="Cambria" w:hAnsi="Cambria" w:eastAsia="宋体" w:cs="Cambria"/>
      <w:b/>
      <w:bCs/>
      <w:kern w:val="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30"/>
    <w:semiHidden/>
    <w:qFormat/>
    <w:locked/>
    <w:uiPriority w:val="99"/>
    <w:pPr>
      <w:shd w:val="clear" w:color="auto" w:fill="000080"/>
    </w:pPr>
  </w:style>
  <w:style w:type="paragraph" w:styleId="4">
    <w:name w:val="annotation text"/>
    <w:basedOn w:val="1"/>
    <w:link w:val="31"/>
    <w:semiHidden/>
    <w:unhideWhenUsed/>
    <w:qFormat/>
    <w:locked/>
    <w:uiPriority w:val="99"/>
    <w:pPr>
      <w:jc w:val="left"/>
    </w:pPr>
  </w:style>
  <w:style w:type="paragraph" w:styleId="5">
    <w:name w:val="Plain Text"/>
    <w:basedOn w:val="1"/>
    <w:link w:val="19"/>
    <w:qFormat/>
    <w:uiPriority w:val="99"/>
    <w:pPr>
      <w:autoSpaceDE/>
      <w:autoSpaceDN/>
      <w:snapToGrid/>
      <w:spacing w:line="240" w:lineRule="auto"/>
      <w:ind w:firstLine="0"/>
    </w:pPr>
    <w:rPr>
      <w:rFonts w:ascii="宋体" w:hAnsi="Courier New" w:eastAsia="宋体" w:cs="宋体"/>
      <w:kern w:val="2"/>
      <w:sz w:val="21"/>
      <w:szCs w:val="21"/>
    </w:rPr>
  </w:style>
  <w:style w:type="paragraph" w:styleId="6">
    <w:name w:val="Date"/>
    <w:basedOn w:val="1"/>
    <w:next w:val="1"/>
    <w:link w:val="20"/>
    <w:semiHidden/>
    <w:qFormat/>
    <w:uiPriority w:val="99"/>
    <w:pPr>
      <w:ind w:left="100" w:leftChars="2500"/>
    </w:pPr>
  </w:style>
  <w:style w:type="paragraph" w:styleId="7">
    <w:name w:val="Balloon Text"/>
    <w:basedOn w:val="1"/>
    <w:link w:val="35"/>
    <w:semiHidden/>
    <w:unhideWhenUsed/>
    <w:qFormat/>
    <w:locked/>
    <w:uiPriority w:val="99"/>
    <w:pPr>
      <w:spacing w:line="240" w:lineRule="auto"/>
    </w:pPr>
    <w:rPr>
      <w:sz w:val="18"/>
      <w:szCs w:val="18"/>
    </w:rPr>
  </w:style>
  <w:style w:type="paragraph" w:styleId="8">
    <w:name w:val="footer"/>
    <w:basedOn w:val="1"/>
    <w:link w:val="24"/>
    <w:qFormat/>
    <w:uiPriority w:val="99"/>
    <w:pPr>
      <w:tabs>
        <w:tab w:val="center" w:pos="4153"/>
        <w:tab w:val="right" w:pos="8306"/>
      </w:tabs>
      <w:spacing w:line="240" w:lineRule="atLeast"/>
      <w:jc w:val="left"/>
    </w:pPr>
    <w:rPr>
      <w:rFonts w:eastAsia="方正仿宋_GBK"/>
      <w:sz w:val="18"/>
      <w:szCs w:val="18"/>
    </w:rPr>
  </w:style>
  <w:style w:type="paragraph" w:styleId="9">
    <w:name w:val="header"/>
    <w:basedOn w:val="1"/>
    <w:link w:val="23"/>
    <w:qFormat/>
    <w:uiPriority w:val="99"/>
    <w:pPr>
      <w:pBdr>
        <w:bottom w:val="single" w:color="auto" w:sz="6" w:space="1"/>
      </w:pBdr>
      <w:tabs>
        <w:tab w:val="center" w:pos="4153"/>
        <w:tab w:val="right" w:pos="8306"/>
      </w:tabs>
      <w:spacing w:line="240" w:lineRule="atLeast"/>
      <w:jc w:val="center"/>
    </w:pPr>
    <w:rPr>
      <w:rFonts w:eastAsia="方正仿宋_GBK"/>
      <w:sz w:val="18"/>
      <w:szCs w:val="18"/>
    </w:rPr>
  </w:style>
  <w:style w:type="paragraph" w:styleId="10">
    <w:name w:val="Normal (Web)"/>
    <w:basedOn w:val="1"/>
    <w:qFormat/>
    <w:uiPriority w:val="99"/>
    <w:pPr>
      <w:widowControl/>
      <w:autoSpaceDE/>
      <w:autoSpaceDN/>
      <w:snapToGrid/>
      <w:spacing w:before="100" w:beforeAutospacing="1" w:after="100" w:afterAutospacing="1" w:line="240" w:lineRule="auto"/>
      <w:ind w:firstLine="0"/>
      <w:jc w:val="left"/>
    </w:pPr>
    <w:rPr>
      <w:rFonts w:ascii="宋体" w:hAnsi="宋体" w:eastAsia="宋体" w:cs="宋体"/>
      <w:sz w:val="24"/>
      <w:szCs w:val="24"/>
    </w:rPr>
  </w:style>
  <w:style w:type="paragraph" w:styleId="11">
    <w:name w:val="annotation subject"/>
    <w:basedOn w:val="4"/>
    <w:next w:val="4"/>
    <w:link w:val="32"/>
    <w:semiHidden/>
    <w:unhideWhenUsed/>
    <w:qFormat/>
    <w:locked/>
    <w:uiPriority w:val="99"/>
    <w:rPr>
      <w:b/>
      <w:bCs/>
    </w:rPr>
  </w:style>
  <w:style w:type="character" w:styleId="14">
    <w:name w:val="Strong"/>
    <w:basedOn w:val="13"/>
    <w:qFormat/>
    <w:uiPriority w:val="22"/>
    <w:rPr>
      <w:b/>
      <w:bCs/>
    </w:rPr>
  </w:style>
  <w:style w:type="character" w:styleId="15">
    <w:name w:val="page number"/>
    <w:basedOn w:val="13"/>
    <w:qFormat/>
    <w:uiPriority w:val="99"/>
  </w:style>
  <w:style w:type="character" w:styleId="16">
    <w:name w:val="Hyperlink"/>
    <w:basedOn w:val="13"/>
    <w:qFormat/>
    <w:uiPriority w:val="99"/>
    <w:rPr>
      <w:color w:val="0000FF"/>
      <w:u w:val="single"/>
    </w:rPr>
  </w:style>
  <w:style w:type="character" w:styleId="17">
    <w:name w:val="annotation reference"/>
    <w:basedOn w:val="13"/>
    <w:semiHidden/>
    <w:unhideWhenUsed/>
    <w:qFormat/>
    <w:locked/>
    <w:uiPriority w:val="99"/>
    <w:rPr>
      <w:sz w:val="21"/>
      <w:szCs w:val="21"/>
    </w:rPr>
  </w:style>
  <w:style w:type="character" w:customStyle="1" w:styleId="18">
    <w:name w:val="标题 2 字符"/>
    <w:basedOn w:val="13"/>
    <w:link w:val="2"/>
    <w:qFormat/>
    <w:locked/>
    <w:uiPriority w:val="99"/>
    <w:rPr>
      <w:rFonts w:ascii="Cambria" w:hAnsi="Cambria" w:cs="Cambria"/>
      <w:b/>
      <w:bCs/>
      <w:kern w:val="2"/>
      <w:sz w:val="32"/>
      <w:szCs w:val="32"/>
    </w:rPr>
  </w:style>
  <w:style w:type="character" w:customStyle="1" w:styleId="19">
    <w:name w:val="纯文本 字符"/>
    <w:basedOn w:val="13"/>
    <w:link w:val="5"/>
    <w:qFormat/>
    <w:locked/>
    <w:uiPriority w:val="99"/>
    <w:rPr>
      <w:rFonts w:ascii="宋体" w:hAnsi="Courier New" w:cs="宋体"/>
      <w:kern w:val="2"/>
      <w:sz w:val="21"/>
      <w:szCs w:val="21"/>
    </w:rPr>
  </w:style>
  <w:style w:type="character" w:customStyle="1" w:styleId="20">
    <w:name w:val="日期 字符"/>
    <w:basedOn w:val="13"/>
    <w:link w:val="6"/>
    <w:semiHidden/>
    <w:qFormat/>
    <w:locked/>
    <w:uiPriority w:val="99"/>
    <w:rPr>
      <w:rFonts w:eastAsia="方正仿宋_GBK"/>
      <w:kern w:val="0"/>
      <w:sz w:val="32"/>
      <w:szCs w:val="32"/>
    </w:rPr>
  </w:style>
  <w:style w:type="character" w:customStyle="1" w:styleId="21">
    <w:name w:val="Footer Char"/>
    <w:basedOn w:val="13"/>
    <w:qFormat/>
    <w:locked/>
    <w:uiPriority w:val="99"/>
    <w:rPr>
      <w:rFonts w:eastAsia="方正仿宋_GBK"/>
      <w:sz w:val="18"/>
      <w:szCs w:val="18"/>
    </w:rPr>
  </w:style>
  <w:style w:type="character" w:customStyle="1" w:styleId="22">
    <w:name w:val="Header Char"/>
    <w:basedOn w:val="13"/>
    <w:qFormat/>
    <w:locked/>
    <w:uiPriority w:val="99"/>
    <w:rPr>
      <w:rFonts w:eastAsia="方正仿宋_GBK"/>
      <w:snapToGrid w:val="0"/>
      <w:sz w:val="18"/>
      <w:szCs w:val="18"/>
    </w:rPr>
  </w:style>
  <w:style w:type="character" w:customStyle="1" w:styleId="23">
    <w:name w:val="页眉 字符"/>
    <w:link w:val="9"/>
    <w:semiHidden/>
    <w:qFormat/>
    <w:locked/>
    <w:uiPriority w:val="99"/>
    <w:rPr>
      <w:rFonts w:eastAsia="方正仿宋_GBK"/>
      <w:kern w:val="0"/>
      <w:sz w:val="18"/>
      <w:szCs w:val="18"/>
    </w:rPr>
  </w:style>
  <w:style w:type="character" w:customStyle="1" w:styleId="24">
    <w:name w:val="页脚 字符"/>
    <w:link w:val="8"/>
    <w:semiHidden/>
    <w:qFormat/>
    <w:locked/>
    <w:uiPriority w:val="99"/>
    <w:rPr>
      <w:rFonts w:eastAsia="方正仿宋_GBK"/>
      <w:kern w:val="0"/>
      <w:sz w:val="18"/>
      <w:szCs w:val="18"/>
    </w:rPr>
  </w:style>
  <w:style w:type="paragraph" w:customStyle="1" w:styleId="25">
    <w:name w:val="样式"/>
    <w:basedOn w:val="1"/>
    <w:qFormat/>
    <w:uiPriority w:val="99"/>
    <w:pPr>
      <w:widowControl/>
      <w:autoSpaceDE/>
      <w:autoSpaceDN/>
      <w:snapToGrid/>
      <w:spacing w:after="160" w:line="240" w:lineRule="exact"/>
      <w:ind w:firstLine="0"/>
      <w:jc w:val="left"/>
    </w:pPr>
  </w:style>
  <w:style w:type="paragraph" w:customStyle="1" w:styleId="26">
    <w:name w:val="正文1"/>
    <w:qFormat/>
    <w:uiPriority w:val="99"/>
    <w:pPr>
      <w:jc w:val="both"/>
    </w:pPr>
    <w:rPr>
      <w:rFonts w:ascii="Times New Roman" w:hAnsi="Times New Roman" w:eastAsia="宋体" w:cs="Times New Roman"/>
      <w:kern w:val="2"/>
      <w:sz w:val="21"/>
      <w:szCs w:val="21"/>
      <w:lang w:val="en-US" w:eastAsia="zh-CN" w:bidi="ar-SA"/>
    </w:rPr>
  </w:style>
  <w:style w:type="paragraph" w:customStyle="1" w:styleId="27">
    <w:name w:val="_Style 3"/>
    <w:basedOn w:val="1"/>
    <w:qFormat/>
    <w:uiPriority w:val="99"/>
    <w:pPr>
      <w:widowControl/>
      <w:autoSpaceDE/>
      <w:autoSpaceDN/>
      <w:snapToGrid/>
      <w:spacing w:after="160" w:line="240" w:lineRule="exact"/>
      <w:ind w:firstLine="0"/>
      <w:jc w:val="left"/>
    </w:pPr>
  </w:style>
  <w:style w:type="paragraph" w:customStyle="1" w:styleId="28">
    <w:name w:val="Char"/>
    <w:basedOn w:val="1"/>
    <w:qFormat/>
    <w:uiPriority w:val="99"/>
    <w:pPr>
      <w:autoSpaceDE/>
      <w:autoSpaceDN/>
      <w:snapToGrid/>
      <w:spacing w:line="240" w:lineRule="auto"/>
      <w:ind w:firstLine="0"/>
    </w:pPr>
    <w:rPr>
      <w:kern w:val="2"/>
    </w:rPr>
  </w:style>
  <w:style w:type="paragraph" w:customStyle="1" w:styleId="29">
    <w:name w:val="1 Char Char Char Char"/>
    <w:basedOn w:val="3"/>
    <w:qFormat/>
    <w:uiPriority w:val="99"/>
    <w:pPr>
      <w:autoSpaceDE/>
      <w:autoSpaceDN/>
      <w:adjustRightInd w:val="0"/>
      <w:snapToGrid/>
      <w:spacing w:line="436" w:lineRule="exact"/>
      <w:ind w:left="357" w:firstLine="0"/>
      <w:jc w:val="left"/>
      <w:outlineLvl w:val="3"/>
    </w:pPr>
    <w:rPr>
      <w:rFonts w:eastAsia="宋体"/>
      <w:kern w:val="2"/>
      <w:sz w:val="21"/>
      <w:szCs w:val="21"/>
    </w:rPr>
  </w:style>
  <w:style w:type="character" w:customStyle="1" w:styleId="30">
    <w:name w:val="文档结构图 字符"/>
    <w:basedOn w:val="13"/>
    <w:link w:val="3"/>
    <w:semiHidden/>
    <w:qFormat/>
    <w:locked/>
    <w:uiPriority w:val="99"/>
    <w:rPr>
      <w:rFonts w:eastAsia="仿宋_GB2312"/>
      <w:kern w:val="0"/>
      <w:sz w:val="2"/>
      <w:szCs w:val="2"/>
    </w:rPr>
  </w:style>
  <w:style w:type="character" w:customStyle="1" w:styleId="31">
    <w:name w:val="批注文字 字符"/>
    <w:basedOn w:val="13"/>
    <w:link w:val="4"/>
    <w:semiHidden/>
    <w:qFormat/>
    <w:uiPriority w:val="99"/>
    <w:rPr>
      <w:rFonts w:eastAsia="仿宋_GB2312"/>
      <w:kern w:val="0"/>
      <w:sz w:val="32"/>
      <w:szCs w:val="32"/>
    </w:rPr>
  </w:style>
  <w:style w:type="character" w:customStyle="1" w:styleId="32">
    <w:name w:val="批注主题 字符"/>
    <w:basedOn w:val="31"/>
    <w:link w:val="11"/>
    <w:semiHidden/>
    <w:qFormat/>
    <w:uiPriority w:val="99"/>
    <w:rPr>
      <w:rFonts w:eastAsia="仿宋_GB2312"/>
      <w:b/>
      <w:bCs/>
      <w:kern w:val="0"/>
      <w:sz w:val="32"/>
      <w:szCs w:val="32"/>
    </w:rPr>
  </w:style>
  <w:style w:type="paragraph" w:customStyle="1" w:styleId="33">
    <w:name w:val="Revision"/>
    <w:hidden/>
    <w:semiHidden/>
    <w:qFormat/>
    <w:uiPriority w:val="99"/>
    <w:rPr>
      <w:rFonts w:ascii="Times New Roman" w:hAnsi="Times New Roman" w:eastAsia="仿宋_GB2312" w:cs="Times New Roman"/>
      <w:kern w:val="0"/>
      <w:sz w:val="32"/>
      <w:szCs w:val="32"/>
      <w:lang w:val="en-US" w:eastAsia="zh-CN" w:bidi="ar-SA"/>
    </w:rPr>
  </w:style>
  <w:style w:type="paragraph" w:customStyle="1" w:styleId="34">
    <w:name w:val="正文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customStyle="1" w:styleId="35">
    <w:name w:val="批注框文本 字符"/>
    <w:basedOn w:val="13"/>
    <w:link w:val="7"/>
    <w:semiHidden/>
    <w:qFormat/>
    <w:uiPriority w:val="99"/>
    <w:rPr>
      <w:rFonts w:eastAsia="仿宋_GB2312"/>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635</Words>
  <Characters>3623</Characters>
  <Lines>30</Lines>
  <Paragraphs>8</Paragraphs>
  <TotalTime>96</TotalTime>
  <ScaleCrop>false</ScaleCrop>
  <LinksUpToDate>false</LinksUpToDate>
  <CharactersWithSpaces>4250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2022-12-12T07:40:00Z</dcterms:created>
  <dc:creator>陈志敏</dc:creator>
  <cp:lastModifiedBy>uos</cp:lastModifiedBy>
  <cp:lastPrinted>2023-05-08T09:30:10Z</cp:lastPrinted>
  <dcterms:modified xsi:type="dcterms:W3CDTF">2023-05-08T09:35:11Z</dcterms:modified>
  <dc:title>佛山市加快培育高新技术企业</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E59162E7B2CAABD197DF48643CAAD18D</vt:lpwstr>
  </property>
</Properties>
</file>