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both"/>
        <w:textAlignment w:val="auto"/>
        <w:rPr>
          <w:rFonts w:hint="eastAsia" w:ascii="仿宋_GB2312" w:hAnsi="宋体" w:eastAsia="仿宋_GB2312" w:cs="宋体"/>
          <w:b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湛江市人力资源和社会保障局（本级）2022年度一般公共预算财政拨款“三公”经费支出决算情况说明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宋体" w:eastAsia="仿宋_GB2312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“三公”经费财政拨款支出决算总体情况说明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湛江市人力资源和社会保障局（本级）2022年度“三公”经费财政拨款支出决算为8.49万元，完成全年预算8.49万元的100%，比上年决算数增加3.37万元，增长65.8%。其中：因公出国（境）</w:t>
      </w:r>
      <w:bookmarkStart w:id="3" w:name="_GoBack"/>
      <w:bookmarkEnd w:id="3"/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费支出决算为0万元，完成预算0万元的--%（基数为0，不可比），比上年决算数增加0万元，增长--（基数为0，不可比）；公务用车购置及运行维护费支出决算为6.59万元，完成预算6.59万元的100%，比上年决算数增加4.48万元，增长213.3%；其中：公务用车购置支出决算为0万元，完成预算0万元的--%（基数为0，不可比），比上年决算数增加0万元，增长--（基数为0，不可比）；公务用车运行维护费支出决算为6.59万元，完成预算6.59万元的100%，比上年决算数增加4.48万元，增长213.3%；公务接待费支出决算为1.9万元，完成预算1.9万元的100%，比上年决算数减少1.11万元，下降36.9%。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2022年度“三公”经费支出决算等于预算数的主要情况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：认真贯彻落实中央八项规定精神和厉行节约的要求，从严控制“三公”经费开支，完成预算100%。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2022年度“三公”经费支出决算大于上年决算数的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主要情况：一是公务车辆老旧，日常维修维护费用增加；二是使用次数增加，油费开支增加，导致本年度公务用车运行维护费增加。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“三公”经费财政拨款支出决算具体情况说明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bookmarkStart w:id="0" w:name="PO_part3A3B2C2D2Use1"/>
      <w:r>
        <w:rPr>
          <w:rFonts w:hint="eastAsia" w:ascii="仿宋_GB2312" w:hAnsi="宋体" w:eastAsia="仿宋_GB2312" w:cs="宋体"/>
          <w:sz w:val="32"/>
          <w:szCs w:val="32"/>
        </w:rPr>
        <w:t>2022年度“三公”经费财政拨款支出决算中，因公出国（境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z w:val="32"/>
          <w:szCs w:val="32"/>
        </w:rPr>
        <w:t>费0万元，占0%；公务用车购置及运行维护费支出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6.59</w:t>
      </w:r>
      <w:r>
        <w:rPr>
          <w:rFonts w:hint="eastAsia" w:ascii="仿宋_GB2312" w:hAnsi="宋体" w:eastAsia="仿宋_GB2312" w:cs="宋体"/>
          <w:sz w:val="32"/>
          <w:szCs w:val="32"/>
        </w:rPr>
        <w:t>万元，占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77.6</w:t>
      </w:r>
      <w:r>
        <w:rPr>
          <w:rFonts w:hint="eastAsia" w:ascii="仿宋_GB2312" w:hAnsi="宋体" w:eastAsia="仿宋_GB2312" w:cs="宋体"/>
          <w:sz w:val="32"/>
          <w:szCs w:val="32"/>
        </w:rPr>
        <w:t>%；公务接待费支出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1.9</w:t>
      </w:r>
      <w:r>
        <w:rPr>
          <w:rFonts w:hint="eastAsia" w:ascii="仿宋_GB2312" w:hAnsi="宋体" w:eastAsia="仿宋_GB2312" w:cs="宋体"/>
          <w:sz w:val="32"/>
          <w:szCs w:val="32"/>
        </w:rPr>
        <w:t>万元，占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22.4</w:t>
      </w:r>
      <w:r>
        <w:rPr>
          <w:rFonts w:hint="eastAsia" w:ascii="仿宋_GB2312" w:hAnsi="宋体" w:eastAsia="仿宋_GB2312" w:cs="宋体"/>
          <w:sz w:val="32"/>
          <w:szCs w:val="32"/>
        </w:rPr>
        <w:t>%。具体情况如下：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1.因公出国（境）费支出0万元。全年使用财政拨款安排出国（境）团组0个、累计0人次。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bookmarkStart w:id="1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6.59</w:t>
      </w:r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万元，其中：公务用车购置支出为0万元，公务用车购置数0辆。公务用车运行维护费支出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6.59</w:t>
      </w:r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z w:val="32"/>
          <w:szCs w:val="32"/>
        </w:rPr>
        <w:t>辆，主要用于公务外出、调研下乡使用。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1.9</w:t>
      </w:r>
      <w:r>
        <w:rPr>
          <w:rFonts w:hint="eastAsia" w:ascii="仿宋_GB2312" w:hAnsi="宋体" w:eastAsia="仿宋_GB2312" w:cs="宋体"/>
          <w:sz w:val="32"/>
          <w:szCs w:val="32"/>
        </w:rPr>
        <w:t>万元，主要用于接待上级部门调研指导及其他市级单位交流学习，共接待国外、境外来访团组0个，来访外宾0人次；发生国内接待1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190</w:t>
      </w:r>
      <w:r>
        <w:rPr>
          <w:rFonts w:hint="eastAsia" w:ascii="仿宋_GB2312" w:hAnsi="宋体" w:eastAsia="仿宋_GB2312" w:cs="宋体"/>
          <w:sz w:val="32"/>
          <w:szCs w:val="32"/>
        </w:rPr>
        <w:t>人。主要包括接待上级部门到本单位调研及督办指导工作，及其他地市交流学习接待工作。</w:t>
      </w:r>
      <w:bookmarkEnd w:id="1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</w:rPr>
      </w:pPr>
    </w:p>
    <w:tbl>
      <w:tblPr>
        <w:tblStyle w:val="4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773"/>
        <w:gridCol w:w="774"/>
        <w:gridCol w:w="774"/>
        <w:gridCol w:w="774"/>
        <w:gridCol w:w="774"/>
        <w:gridCol w:w="773"/>
        <w:gridCol w:w="773"/>
        <w:gridCol w:w="773"/>
        <w:gridCol w:w="3"/>
        <w:gridCol w:w="770"/>
        <w:gridCol w:w="773"/>
        <w:gridCol w:w="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928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</w:trPr>
        <w:tc>
          <w:tcPr>
            <w:tcW w:w="6964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部门：</w:t>
            </w:r>
            <w:bookmarkStart w:id="2" w:name="PO_part2Table7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湛江市人力资源和社会保障局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本级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  <w:bookmarkEnd w:id="2"/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4642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预算数</w:t>
            </w:r>
          </w:p>
        </w:tc>
        <w:tc>
          <w:tcPr>
            <w:tcW w:w="4638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7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因公出国（境）费</w:t>
            </w:r>
          </w:p>
        </w:tc>
        <w:tc>
          <w:tcPr>
            <w:tcW w:w="232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77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7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因公出国（境）费</w:t>
            </w:r>
          </w:p>
        </w:tc>
        <w:tc>
          <w:tcPr>
            <w:tcW w:w="2319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7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公务用车购置费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774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77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公务用车购置费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7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8.49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6.59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6.59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8.49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6.59</w:t>
            </w:r>
          </w:p>
        </w:tc>
        <w:tc>
          <w:tcPr>
            <w:tcW w:w="77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6.59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注：本表反映</w:t>
      </w:r>
      <w:r>
        <w:rPr>
          <w:rFonts w:hint="eastAsia" w:ascii="宋体" w:hAnsi="宋体" w:cs="宋体"/>
          <w:szCs w:val="21"/>
          <w:lang w:val="en-US" w:eastAsia="zh-CN"/>
        </w:rPr>
        <w:t>单位</w:t>
      </w:r>
      <w:r>
        <w:rPr>
          <w:rFonts w:hint="eastAsia" w:ascii="宋体" w:hAnsi="宋体" w:cs="宋体"/>
          <w:szCs w:val="21"/>
        </w:rPr>
        <w:t>本年度财政拨款“三公”经费支出预决算情况。其中，预算数为“三公”经费全年预算数，反映按规定程序调整后的预算数；决算数是包括当年财政拨款和以前年度结转资金安排的实际支出。</w:t>
      </w:r>
    </w:p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3YTVlZjJiOWIyNTQ2MWJlMGM5NDZkOGJiNTZlMDIifQ=="/>
  </w:docVars>
  <w:rsids>
    <w:rsidRoot w:val="6B8B03E1"/>
    <w:rsid w:val="04B27F4A"/>
    <w:rsid w:val="673C6763"/>
    <w:rsid w:val="6B8B03E1"/>
    <w:rsid w:val="73182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9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</w:style>
  <w:style w:type="paragraph" w:styleId="3">
    <w:name w:val="toc 5"/>
    <w:basedOn w:val="1"/>
    <w:next w:val="1"/>
    <w:qFormat/>
    <w:uiPriority w:val="99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953</Words>
  <Characters>1097</Characters>
  <Lines>0</Lines>
  <Paragraphs>0</Paragraphs>
  <TotalTime>12</TotalTime>
  <ScaleCrop>false</ScaleCrop>
  <LinksUpToDate>false</LinksUpToDate>
  <CharactersWithSpaces>1149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2021-09-15T09:48:00Z</dcterms:created>
  <dc:creator>罗海艳</dc:creator>
  <cp:lastModifiedBy>水果宾治✨</cp:lastModifiedBy>
  <dcterms:modified xsi:type="dcterms:W3CDTF">2023-09-15T02:05:46Z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D748CE44CC7F4AE8979204A2B4611B53_13</vt:lpwstr>
  </property>
</Properties>
</file>