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883" w:firstLineChars="200"/>
        <w:jc w:val="both"/>
        <w:textAlignment w:val="auto"/>
        <w:rPr>
          <w:rFonts w:hint="eastAsia" w:ascii="仿宋_GB2312" w:hAnsi="宋体" w:eastAsia="仿宋_GB2312" w:cs="宋体"/>
          <w:b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湛江市人力资源和社会保障局2022年度一般公共预算财政拨款“三公”经费支出决算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情况说明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eastAsia" w:ascii="仿宋_GB2312" w:hAnsi="宋体" w:eastAsia="仿宋_GB2312" w:cs="宋体"/>
          <w:b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一、</w:t>
      </w:r>
      <w:r>
        <w:rPr>
          <w:rFonts w:hint="eastAsia" w:ascii="黑体" w:hAnsi="黑体" w:eastAsia="黑体" w:cs="黑体"/>
          <w:b w:val="0"/>
          <w:bCs/>
          <w:sz w:val="32"/>
          <w:szCs w:val="32"/>
        </w:rPr>
        <w:t>“三公”经费财政拨款支出决算总体情况说明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8" w:firstLineChars="200"/>
        <w:jc w:val="both"/>
        <w:textAlignment w:val="auto"/>
      </w:pPr>
      <w:r>
        <w:rPr>
          <w:rFonts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>湛江市人力资源和社会保障局2022年度“三公”经费</w:t>
      </w: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财政拨款支出决算为26.91万元，完成全年预算31.15万元的86.4%，比上年决算数增加8.58万元，增长46.8%。其中：因公出国（境）费支出决算为0万元，完成预算0万元的--%（基数为0，不可比），比上年决算数增加0万元，增长--（基数为0，不可比）；公务用车购置及运行维护费支出决算为24.4万元，完成预算26.77万元的91.2%，比上年决算数增加10.65万元，增长77.4%；其中：公务用车购置支出决算为0万元，完成预算0万元的--%（基数为0，不可比），比上年决算数增加0万元，增长--（基数为0，不可比）；公务用车运行维护费支出决算为24.4万元，完成预算26.77万元的91.2%，比上年决算数增加10.65万元，增长77.4%；公务接待费支出决算为2.5万元，完成预算4.38万元的57.1%，比上年决算数减少2.07万元，下降45.2%。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8" w:firstLineChars="200"/>
        <w:jc w:val="both"/>
        <w:textAlignment w:val="auto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2022年度“三公”经费支出决算小于预算数的主要情况：认真贯彻落实中央八项规定精神和厉行节约的要求，从严控制“三公”经费开支，全年实际支出比预算有所节约。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8" w:firstLineChars="200"/>
        <w:jc w:val="both"/>
        <w:textAlignment w:val="auto"/>
        <w:rPr>
          <w:rFonts w:ascii="仿宋_GB2312" w:hAnsi="宋体" w:eastAsia="仿宋_GB2312" w:cs="宋体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>2022年度“三公”经费支出决算大于上年决算数的主要情况：一是公务车辆老旧，日常维修维护费用增加；二是使用次数增加，油费开支增加，导致本年度公务用车运行维护费增加。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二</w:t>
      </w:r>
      <w:r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  <w:t>、</w:t>
      </w:r>
      <w:r>
        <w:rPr>
          <w:rFonts w:hint="eastAsia" w:ascii="黑体" w:hAnsi="黑体" w:eastAsia="黑体" w:cs="黑体"/>
          <w:b w:val="0"/>
          <w:bCs/>
          <w:sz w:val="32"/>
          <w:szCs w:val="32"/>
        </w:rPr>
        <w:t>“三公”经费财政拨款支出决算具体情况说明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_GB2312" w:hAnsi="宋体" w:eastAsia="仿宋_GB2312" w:cs="宋体"/>
          <w:sz w:val="32"/>
          <w:szCs w:val="32"/>
        </w:rPr>
      </w:pPr>
      <w:bookmarkStart w:id="0" w:name="PO_part3A3B2C2D2Use1"/>
      <w:r>
        <w:rPr>
          <w:rFonts w:hint="eastAsia" w:ascii="仿宋_GB2312" w:hAnsi="宋体" w:eastAsia="仿宋_GB2312" w:cs="宋体"/>
          <w:sz w:val="32"/>
          <w:szCs w:val="32"/>
        </w:rPr>
        <w:t>2022年度“三公”经费财政拨款支出决算中，因公出国（境</w:t>
      </w:r>
      <w:r>
        <w:rPr>
          <w:rFonts w:hint="eastAsia" w:ascii="仿宋_GB2312" w:hAnsi="宋体" w:eastAsia="仿宋_GB2312" w:cs="宋体"/>
          <w:sz w:val="32"/>
          <w:szCs w:val="32"/>
          <w:lang w:eastAsia="zh-CN"/>
        </w:rPr>
        <w:t>）</w:t>
      </w:r>
      <w:r>
        <w:rPr>
          <w:rFonts w:hint="eastAsia" w:ascii="仿宋_GB2312" w:hAnsi="宋体" w:eastAsia="仿宋_GB2312" w:cs="宋体"/>
          <w:sz w:val="32"/>
          <w:szCs w:val="32"/>
        </w:rPr>
        <w:t>费0万元，占0%；公务用车购置及运行维护费支出24.4万元，占90.7%；公务接待费支出2.5万元，占9.3%。具体情况如下：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 xml:space="preserve">1.因公出国（境）费支出0万元。全年使用财政拨款安排出国（境）团组0个、累计0人次。 </w:t>
      </w:r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_GB2312" w:hAnsi="宋体" w:eastAsia="仿宋_GB2312" w:cs="宋体"/>
          <w:sz w:val="32"/>
          <w:szCs w:val="32"/>
        </w:rPr>
      </w:pPr>
      <w:bookmarkStart w:id="1" w:name="PO_part3A3B2C3GnjdInclude1"/>
      <w:r>
        <w:rPr>
          <w:rFonts w:hint="eastAsia" w:ascii="仿宋_GB2312" w:hAnsi="宋体" w:eastAsia="仿宋_GB2312" w:cs="宋体"/>
          <w:sz w:val="32"/>
          <w:szCs w:val="32"/>
        </w:rPr>
        <w:t>2.公务用车购置及运行维护费支出24.4万元，其中：公务用车购置支出为0万元，公务用车购置数0辆。公务用车运行维护费支出24.4万元，公务用车保有量为13辆，主要用于公务外出、调研下乡使用。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>3.公务接待费支出2.5万元，主要用于接待上级部门调研指导及其他市级单位交流学习，共接待国外、境外来访团组0个，来访外宾0人次；发生国内接待15次，接待人数共224人。主要包括接待上级部门到本单位调研及督办指导工作，及其他地市交流学习接待工作。</w:t>
      </w:r>
      <w:bookmarkStart w:id="3" w:name="_GoBack"/>
      <w:r>
        <w:rPr>
          <w:rFonts w:hint="eastAsia" w:ascii="仿宋_GB2312" w:hAnsi="宋体" w:eastAsia="仿宋_GB2312" w:cs="宋体"/>
          <w:sz w:val="32"/>
          <w:szCs w:val="32"/>
        </w:rPr>
        <w:t xml:space="preserve"> </w:t>
      </w:r>
      <w:bookmarkEnd w:id="3"/>
      <w:bookmarkEnd w:id="1"/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仿宋_GB2312" w:hAnsi="宋体" w:eastAsia="仿宋_GB2312" w:cs="宋体"/>
          <w:sz w:val="32"/>
          <w:szCs w:val="32"/>
        </w:rPr>
      </w:pP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/>
        </w:rPr>
      </w:pPr>
    </w:p>
    <w:tbl>
      <w:tblPr>
        <w:tblStyle w:val="4"/>
        <w:tblW w:w="92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3"/>
        <w:gridCol w:w="773"/>
        <w:gridCol w:w="774"/>
        <w:gridCol w:w="774"/>
        <w:gridCol w:w="774"/>
        <w:gridCol w:w="774"/>
        <w:gridCol w:w="773"/>
        <w:gridCol w:w="773"/>
        <w:gridCol w:w="773"/>
        <w:gridCol w:w="3"/>
        <w:gridCol w:w="770"/>
        <w:gridCol w:w="773"/>
        <w:gridCol w:w="7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4" w:hRule="atLeast"/>
        </w:trPr>
        <w:tc>
          <w:tcPr>
            <w:tcW w:w="9280" w:type="dxa"/>
            <w:gridSpan w:val="13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宋体" w:cs="宋体"/>
                <w:b/>
              </w:rPr>
            </w:pPr>
            <w:r>
              <w:rPr>
                <w:rFonts w:hint="eastAsia" w:ascii="宋体" w:hAnsi="宋体" w:cs="宋体"/>
                <w:b/>
                <w:kern w:val="0"/>
                <w:sz w:val="32"/>
                <w:szCs w:val="32"/>
              </w:rPr>
              <w:t>财政拨款“三公”经费支出决算表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3" w:hRule="atLeast"/>
        </w:trPr>
        <w:tc>
          <w:tcPr>
            <w:tcW w:w="6964" w:type="dxa"/>
            <w:gridSpan w:val="10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部门：</w:t>
            </w:r>
            <w:bookmarkStart w:id="2" w:name="PO_part2Table7DivName1"/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 湛江市人力资源和社会保障局 </w:t>
            </w:r>
            <w:bookmarkEnd w:id="2"/>
          </w:p>
        </w:tc>
        <w:tc>
          <w:tcPr>
            <w:tcW w:w="2316" w:type="dxa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right"/>
              <w:textAlignment w:val="auto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单位：万元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8" w:hRule="atLeast"/>
        </w:trPr>
        <w:tc>
          <w:tcPr>
            <w:tcW w:w="4642" w:type="dxa"/>
            <w:gridSpan w:val="6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预算数</w:t>
            </w:r>
          </w:p>
        </w:tc>
        <w:tc>
          <w:tcPr>
            <w:tcW w:w="4638" w:type="dxa"/>
            <w:gridSpan w:val="7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决算数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8" w:hRule="atLeast"/>
        </w:trPr>
        <w:tc>
          <w:tcPr>
            <w:tcW w:w="773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</w:t>
            </w:r>
          </w:p>
        </w:tc>
        <w:tc>
          <w:tcPr>
            <w:tcW w:w="773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因公出国（境）费</w:t>
            </w:r>
          </w:p>
        </w:tc>
        <w:tc>
          <w:tcPr>
            <w:tcW w:w="2322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公务用车购置及运行维护费</w:t>
            </w:r>
          </w:p>
        </w:tc>
        <w:tc>
          <w:tcPr>
            <w:tcW w:w="774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公务接待费</w:t>
            </w:r>
          </w:p>
        </w:tc>
        <w:tc>
          <w:tcPr>
            <w:tcW w:w="773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</w:t>
            </w:r>
          </w:p>
        </w:tc>
        <w:tc>
          <w:tcPr>
            <w:tcW w:w="773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因公出国（境）费</w:t>
            </w:r>
          </w:p>
        </w:tc>
        <w:tc>
          <w:tcPr>
            <w:tcW w:w="2319" w:type="dxa"/>
            <w:gridSpan w:val="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公务用车购置及运行维护费</w:t>
            </w:r>
          </w:p>
        </w:tc>
        <w:tc>
          <w:tcPr>
            <w:tcW w:w="773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公务接待费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55" w:hRule="atLeast"/>
        </w:trPr>
        <w:tc>
          <w:tcPr>
            <w:tcW w:w="773" w:type="dxa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773" w:type="dxa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小计</w:t>
            </w: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公务用车购置费</w:t>
            </w: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公务用车运行维护费</w:t>
            </w:r>
          </w:p>
        </w:tc>
        <w:tc>
          <w:tcPr>
            <w:tcW w:w="774" w:type="dxa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773" w:type="dxa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773" w:type="dxa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7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小计</w:t>
            </w:r>
          </w:p>
        </w:tc>
        <w:tc>
          <w:tcPr>
            <w:tcW w:w="773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公务用车购置费</w:t>
            </w:r>
          </w:p>
        </w:tc>
        <w:tc>
          <w:tcPr>
            <w:tcW w:w="7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公务用车运行维护费</w:t>
            </w:r>
          </w:p>
        </w:tc>
        <w:tc>
          <w:tcPr>
            <w:tcW w:w="773" w:type="dxa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8" w:hRule="atLeast"/>
        </w:trPr>
        <w:tc>
          <w:tcPr>
            <w:tcW w:w="7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7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7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7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773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7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7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2" w:hRule="atLeast"/>
        </w:trPr>
        <w:tc>
          <w:tcPr>
            <w:tcW w:w="7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31.15</w:t>
            </w:r>
          </w:p>
        </w:tc>
        <w:tc>
          <w:tcPr>
            <w:tcW w:w="7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26.77</w:t>
            </w: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26.77</w:t>
            </w: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4.38</w:t>
            </w:r>
          </w:p>
        </w:tc>
        <w:tc>
          <w:tcPr>
            <w:tcW w:w="7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26.91</w:t>
            </w:r>
          </w:p>
        </w:tc>
        <w:tc>
          <w:tcPr>
            <w:tcW w:w="7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  <w:tc>
          <w:tcPr>
            <w:tcW w:w="7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24.40</w:t>
            </w:r>
          </w:p>
        </w:tc>
        <w:tc>
          <w:tcPr>
            <w:tcW w:w="773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</w:t>
            </w:r>
          </w:p>
        </w:tc>
        <w:tc>
          <w:tcPr>
            <w:tcW w:w="7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24.40</w:t>
            </w:r>
          </w:p>
        </w:tc>
        <w:tc>
          <w:tcPr>
            <w:tcW w:w="7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2.50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注：本表反映部门本年度财政拨款“三公”经费支出预决算情况。其中，预算数为“三公”经费全年预算数，反映按规定程序调整后的预算数；决算数是包括当年财政拨款和以前年度结转资金安排的实际支出。</w:t>
      </w:r>
    </w:p>
    <w:sectPr>
      <w:pgSz w:w="11906" w:h="16838"/>
      <w:pgMar w:top="2098" w:right="1588" w:bottom="2098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M3YTVlZjJiOWIyNTQ2MWJlMGM5NDZkOGJiNTZlMDIifQ=="/>
  </w:docVars>
  <w:rsids>
    <w:rsidRoot w:val="6B8B03E1"/>
    <w:rsid w:val="673C6763"/>
    <w:rsid w:val="6B8B03E1"/>
    <w:rsid w:val="73182D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qFormat="1" w:unhideWhenUsed="0" w:uiPriority="99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99"/>
  </w:style>
  <w:style w:type="paragraph" w:styleId="3">
    <w:name w:val="toc 5"/>
    <w:basedOn w:val="1"/>
    <w:next w:val="1"/>
    <w:qFormat/>
    <w:uiPriority w:val="99"/>
    <w:pPr>
      <w:ind w:left="168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953</Words>
  <Characters>1097</Characters>
  <Lines>0</Lines>
  <Paragraphs>0</Paragraphs>
  <TotalTime>14</TotalTime>
  <ScaleCrop>false</ScaleCrop>
  <LinksUpToDate>false</LinksUpToDate>
  <CharactersWithSpaces>1149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2021-09-15T09:48:00Z</dcterms:created>
  <dc:creator>罗海艳</dc:creator>
  <cp:lastModifiedBy>水果宾治✨</cp:lastModifiedBy>
  <dcterms:modified xsi:type="dcterms:W3CDTF">2023-09-14T09:05:36Z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D748CE44CC7F4AE8979204A2B4611B53_13</vt:lpwstr>
  </property>
</Properties>
</file>