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eastAsia="方正小标宋简体"/>
          <w:sz w:val="52"/>
          <w:szCs w:val="52"/>
          <w:highlight w:val="none"/>
        </w:rPr>
      </w:pPr>
    </w:p>
    <w:p>
      <w:pPr>
        <w:pStyle w:val="2"/>
        <w:ind w:left="0" w:leftChars="0" w:firstLine="0" w:firstLineChars="0"/>
        <w:rPr>
          <w:rFonts w:ascii="方正小标宋简体" w:eastAsia="方正小标宋简体"/>
          <w:sz w:val="52"/>
          <w:szCs w:val="52"/>
          <w:highlight w:val="none"/>
        </w:rPr>
      </w:pPr>
    </w:p>
    <w:p>
      <w:pPr>
        <w:pStyle w:val="2"/>
        <w:ind w:left="0" w:leftChars="0" w:firstLine="0" w:firstLineChars="0"/>
        <w:rPr>
          <w:rFonts w:ascii="方正小标宋简体" w:eastAsia="方正小标宋简体"/>
          <w:sz w:val="52"/>
          <w:szCs w:val="52"/>
          <w:highlight w:val="none"/>
        </w:rPr>
      </w:pPr>
    </w:p>
    <w:p>
      <w:pPr>
        <w:jc w:val="center"/>
        <w:rPr>
          <w:rFonts w:hint="eastAsia" w:asciiTheme="minorEastAsia" w:hAnsiTheme="minorEastAsia" w:eastAsiaTheme="minorEastAsia"/>
          <w:b/>
          <w:bCs/>
          <w:sz w:val="36"/>
          <w:szCs w:val="36"/>
          <w:highlight w:val="none"/>
          <w:lang w:val="en-US" w:eastAsia="zh-CN"/>
        </w:rPr>
      </w:pPr>
      <w:r>
        <w:rPr>
          <w:rFonts w:hint="eastAsia" w:asciiTheme="minorEastAsia" w:hAnsiTheme="minorEastAsia" w:eastAsiaTheme="minorEastAsia"/>
          <w:b/>
          <w:bCs/>
          <w:sz w:val="36"/>
          <w:szCs w:val="36"/>
          <w:highlight w:val="none"/>
          <w:lang w:val="en-US" w:eastAsia="zh-CN"/>
        </w:rPr>
        <w:t>湛江市土地储备管理中心</w:t>
      </w:r>
    </w:p>
    <w:p>
      <w:pPr>
        <w:jc w:val="center"/>
        <w:rPr>
          <w:rFonts w:ascii="Times New Roman" w:hAnsi="Times New Roman" w:eastAsia="仿宋_GB2312"/>
          <w:b/>
          <w:kern w:val="0"/>
          <w:sz w:val="36"/>
          <w:szCs w:val="36"/>
          <w:highlight w:val="none"/>
        </w:rPr>
      </w:pPr>
      <w:r>
        <w:rPr>
          <w:rFonts w:hint="eastAsia" w:asciiTheme="minorEastAsia" w:hAnsiTheme="minorEastAsia" w:eastAsiaTheme="minorEastAsia"/>
          <w:b/>
          <w:bCs/>
          <w:sz w:val="36"/>
          <w:szCs w:val="36"/>
          <w:highlight w:val="none"/>
        </w:rPr>
        <w:t>202</w:t>
      </w:r>
      <w:r>
        <w:rPr>
          <w:rFonts w:hint="eastAsia" w:asciiTheme="minorEastAsia" w:hAnsiTheme="minorEastAsia" w:eastAsiaTheme="minorEastAsia"/>
          <w:b/>
          <w:bCs/>
          <w:sz w:val="36"/>
          <w:szCs w:val="36"/>
          <w:highlight w:val="none"/>
          <w:lang w:val="en-US" w:eastAsia="zh-CN"/>
        </w:rPr>
        <w:t>2</w:t>
      </w:r>
      <w:r>
        <w:rPr>
          <w:rFonts w:hint="eastAsia" w:asciiTheme="minorEastAsia" w:hAnsiTheme="minorEastAsia" w:eastAsiaTheme="minorEastAsia"/>
          <w:b/>
          <w:bCs/>
          <w:sz w:val="36"/>
          <w:szCs w:val="36"/>
          <w:highlight w:val="none"/>
        </w:rPr>
        <w:t>年度</w:t>
      </w:r>
      <w:r>
        <w:rPr>
          <w:rFonts w:hint="eastAsia" w:asciiTheme="minorEastAsia" w:hAnsiTheme="minorEastAsia" w:eastAsiaTheme="minorEastAsia"/>
          <w:b/>
          <w:bCs/>
          <w:sz w:val="36"/>
          <w:szCs w:val="36"/>
          <w:highlight w:val="none"/>
          <w:lang w:eastAsia="zh-CN"/>
        </w:rPr>
        <w:t>部门</w:t>
      </w:r>
      <w:r>
        <w:rPr>
          <w:rFonts w:hint="eastAsia" w:asciiTheme="minorEastAsia" w:hAnsiTheme="minorEastAsia" w:eastAsiaTheme="minorEastAsia"/>
          <w:b/>
          <w:bCs/>
          <w:sz w:val="36"/>
          <w:szCs w:val="36"/>
          <w:highlight w:val="none"/>
        </w:rPr>
        <w:t>整体</w:t>
      </w:r>
      <w:r>
        <w:rPr>
          <w:rFonts w:hint="eastAsia" w:asciiTheme="minorEastAsia" w:hAnsiTheme="minorEastAsia" w:eastAsiaTheme="minorEastAsia"/>
          <w:b/>
          <w:bCs/>
          <w:sz w:val="36"/>
          <w:szCs w:val="36"/>
          <w:highlight w:val="none"/>
          <w:lang w:eastAsia="zh-CN"/>
        </w:rPr>
        <w:t>支出</w:t>
      </w:r>
      <w:r>
        <w:rPr>
          <w:rFonts w:hint="eastAsia" w:asciiTheme="minorEastAsia" w:hAnsiTheme="minorEastAsia" w:eastAsiaTheme="minorEastAsia"/>
          <w:b/>
          <w:bCs/>
          <w:sz w:val="36"/>
          <w:szCs w:val="36"/>
          <w:highlight w:val="none"/>
        </w:rPr>
        <w:t>绩效</w:t>
      </w:r>
      <w:r>
        <w:rPr>
          <w:rFonts w:hint="eastAsia" w:asciiTheme="minorEastAsia" w:hAnsiTheme="minorEastAsia" w:eastAsiaTheme="minorEastAsia"/>
          <w:b/>
          <w:bCs/>
          <w:sz w:val="36"/>
          <w:szCs w:val="36"/>
          <w:highlight w:val="none"/>
          <w:lang w:eastAsia="zh-CN"/>
        </w:rPr>
        <w:t>核查报告</w:t>
      </w:r>
      <w:r>
        <w:rPr>
          <w:rFonts w:hint="eastAsia" w:ascii="Times New Roman" w:hAnsi="Times New Roman" w:eastAsia="仿宋_GB2312"/>
          <w:b/>
          <w:kern w:val="0"/>
          <w:sz w:val="36"/>
          <w:szCs w:val="36"/>
          <w:highlight w:val="none"/>
        </w:rPr>
        <w:t xml:space="preserve"> </w:t>
      </w:r>
    </w:p>
    <w:p>
      <w:pPr>
        <w:rPr>
          <w:rFonts w:ascii="Times New Roman" w:hAnsi="Times New Roman" w:eastAsia="仿宋_GB2312"/>
          <w:kern w:val="0"/>
          <w:sz w:val="32"/>
          <w:szCs w:val="32"/>
          <w:highlight w:val="none"/>
        </w:rPr>
      </w:pPr>
    </w:p>
    <w:p>
      <w:pPr>
        <w:rPr>
          <w:rFonts w:ascii="Times New Roman" w:hAnsi="Times New Roman" w:eastAsia="仿宋_GB2312"/>
          <w:kern w:val="0"/>
          <w:sz w:val="32"/>
          <w:szCs w:val="32"/>
          <w:highlight w:val="none"/>
        </w:rPr>
      </w:pPr>
    </w:p>
    <w:p>
      <w:pPr>
        <w:rPr>
          <w:rFonts w:ascii="Times New Roman" w:hAnsi="Times New Roman" w:eastAsia="仿宋_GB2312"/>
          <w:kern w:val="0"/>
          <w:sz w:val="32"/>
          <w:szCs w:val="32"/>
          <w:highlight w:val="none"/>
        </w:rPr>
      </w:pPr>
    </w:p>
    <w:p>
      <w:pPr>
        <w:rPr>
          <w:rFonts w:ascii="Times New Roman" w:hAnsi="Times New Roman" w:eastAsia="仿宋_GB2312"/>
          <w:kern w:val="0"/>
          <w:sz w:val="32"/>
          <w:szCs w:val="32"/>
          <w:highlight w:val="none"/>
        </w:rPr>
      </w:pPr>
    </w:p>
    <w:p>
      <w:pPr>
        <w:pStyle w:val="2"/>
        <w:rPr>
          <w:rFonts w:ascii="Times New Roman" w:hAnsi="Times New Roman" w:eastAsia="仿宋_GB2312"/>
          <w:kern w:val="0"/>
          <w:sz w:val="32"/>
          <w:szCs w:val="32"/>
          <w:highlight w:val="none"/>
        </w:rPr>
      </w:pPr>
    </w:p>
    <w:p>
      <w:pPr>
        <w:pStyle w:val="2"/>
        <w:rPr>
          <w:rFonts w:ascii="Times New Roman" w:hAnsi="Times New Roman" w:eastAsia="仿宋_GB2312"/>
          <w:kern w:val="0"/>
          <w:sz w:val="32"/>
          <w:szCs w:val="32"/>
          <w:highlight w:val="none"/>
        </w:rPr>
      </w:pPr>
    </w:p>
    <w:p>
      <w:pPr>
        <w:pStyle w:val="2"/>
        <w:rPr>
          <w:rFonts w:ascii="Times New Roman" w:hAnsi="Times New Roman" w:eastAsia="仿宋_GB2312"/>
          <w:kern w:val="0"/>
          <w:sz w:val="32"/>
          <w:szCs w:val="32"/>
          <w:highlight w:val="none"/>
        </w:rPr>
      </w:pPr>
    </w:p>
    <w:p>
      <w:pPr>
        <w:pStyle w:val="2"/>
        <w:rPr>
          <w:rFonts w:ascii="Times New Roman" w:hAnsi="Times New Roman" w:eastAsia="仿宋_GB2312"/>
          <w:kern w:val="0"/>
          <w:sz w:val="32"/>
          <w:szCs w:val="32"/>
          <w:highlight w:val="none"/>
        </w:rPr>
      </w:pPr>
    </w:p>
    <w:p>
      <w:pPr>
        <w:rPr>
          <w:rFonts w:ascii="Times New Roman" w:hAnsi="Times New Roman" w:eastAsia="仿宋_GB2312"/>
          <w:kern w:val="0"/>
          <w:sz w:val="32"/>
          <w:szCs w:val="32"/>
          <w:highlight w:val="none"/>
        </w:rPr>
      </w:pPr>
    </w:p>
    <w:p>
      <w:pPr>
        <w:rPr>
          <w:rFonts w:ascii="Times New Roman" w:hAnsi="Times New Roman" w:eastAsia="仿宋_GB2312"/>
          <w:kern w:val="0"/>
          <w:sz w:val="32"/>
          <w:szCs w:val="32"/>
          <w:highlight w:val="none"/>
        </w:rPr>
      </w:pPr>
    </w:p>
    <w:p>
      <w:pPr>
        <w:rPr>
          <w:rFonts w:ascii="Times New Roman" w:hAnsi="Times New Roman" w:eastAsia="仿宋_GB2312"/>
          <w:kern w:val="0"/>
          <w:sz w:val="32"/>
          <w:szCs w:val="32"/>
          <w:highlight w:val="none"/>
        </w:rPr>
      </w:pPr>
    </w:p>
    <w:p>
      <w:pPr>
        <w:ind w:firstLine="843" w:firstLineChars="300"/>
        <w:rPr>
          <w:rFonts w:ascii="Times New Roman" w:hAnsi="Times New Roman" w:eastAsia="仿宋_GB2312"/>
          <w:kern w:val="0"/>
          <w:sz w:val="28"/>
          <w:szCs w:val="28"/>
          <w:highlight w:val="none"/>
        </w:rPr>
      </w:pPr>
      <w:r>
        <w:rPr>
          <w:rFonts w:hint="eastAsia" w:ascii="仿宋" w:hAnsi="仿宋" w:eastAsia="仿宋" w:cs="仿宋"/>
          <w:b/>
          <w:bCs/>
          <w:kern w:val="0"/>
          <w:sz w:val="28"/>
          <w:szCs w:val="28"/>
          <w:highlight w:val="none"/>
          <w:lang w:eastAsia="zh-CN"/>
        </w:rPr>
        <w:t>委托单位：</w:t>
      </w:r>
      <w:r>
        <w:rPr>
          <w:rFonts w:hint="eastAsia" w:ascii="仿宋" w:hAnsi="仿宋" w:eastAsia="仿宋" w:cs="仿宋"/>
          <w:kern w:val="0"/>
          <w:sz w:val="28"/>
          <w:szCs w:val="28"/>
          <w:highlight w:val="none"/>
          <w:lang w:eastAsia="zh-CN"/>
        </w:rPr>
        <w:t>湛江市财政局</w:t>
      </w:r>
    </w:p>
    <w:p>
      <w:pPr>
        <w:ind w:firstLine="843" w:firstLineChars="300"/>
        <w:rPr>
          <w:rFonts w:hint="eastAsia" w:ascii="仿宋" w:hAnsi="仿宋" w:eastAsia="仿宋" w:cs="仿宋"/>
          <w:kern w:val="0"/>
          <w:sz w:val="28"/>
          <w:szCs w:val="28"/>
          <w:highlight w:val="none"/>
          <w:lang w:eastAsia="zh-CN"/>
        </w:rPr>
      </w:pPr>
      <w:r>
        <w:rPr>
          <w:rFonts w:hint="eastAsia" w:ascii="仿宋" w:hAnsi="仿宋" w:eastAsia="仿宋" w:cs="仿宋"/>
          <w:b/>
          <w:bCs/>
          <w:kern w:val="0"/>
          <w:sz w:val="28"/>
          <w:szCs w:val="28"/>
          <w:highlight w:val="none"/>
          <w:lang w:eastAsia="zh-CN"/>
        </w:rPr>
        <w:t>评价机构：</w:t>
      </w:r>
      <w:r>
        <w:rPr>
          <w:rFonts w:hint="eastAsia" w:ascii="仿宋" w:hAnsi="仿宋" w:eastAsia="仿宋" w:cs="仿宋"/>
          <w:kern w:val="0"/>
          <w:sz w:val="28"/>
          <w:szCs w:val="28"/>
          <w:highlight w:val="none"/>
          <w:lang w:eastAsia="zh-CN"/>
        </w:rPr>
        <w:t>广东诚安信会计师事务所（特殊普通合伙）</w:t>
      </w:r>
    </w:p>
    <w:p>
      <w:pPr>
        <w:ind w:firstLine="843" w:firstLineChars="300"/>
        <w:rPr>
          <w:rFonts w:hint="eastAsia" w:ascii="仿宋" w:hAnsi="仿宋" w:eastAsia="仿宋" w:cs="仿宋"/>
          <w:kern w:val="0"/>
          <w:sz w:val="28"/>
          <w:szCs w:val="28"/>
          <w:highlight w:val="none"/>
          <w:lang w:eastAsia="zh-CN"/>
        </w:rPr>
      </w:pPr>
      <w:r>
        <w:rPr>
          <w:rFonts w:hint="eastAsia" w:ascii="仿宋" w:hAnsi="仿宋" w:eastAsia="仿宋" w:cs="仿宋"/>
          <w:b/>
          <w:bCs/>
          <w:kern w:val="0"/>
          <w:sz w:val="28"/>
          <w:szCs w:val="28"/>
          <w:highlight w:val="none"/>
          <w:lang w:eastAsia="zh-CN"/>
        </w:rPr>
        <w:t>评价日期：</w:t>
      </w:r>
      <w:r>
        <w:rPr>
          <w:rFonts w:hint="eastAsia" w:ascii="仿宋" w:hAnsi="仿宋" w:eastAsia="仿宋" w:cs="仿宋"/>
          <w:kern w:val="0"/>
          <w:sz w:val="28"/>
          <w:szCs w:val="28"/>
          <w:highlight w:val="none"/>
          <w:lang w:eastAsia="zh-CN"/>
        </w:rPr>
        <w:t>202</w:t>
      </w:r>
      <w:r>
        <w:rPr>
          <w:rFonts w:hint="eastAsia" w:ascii="仿宋" w:hAnsi="仿宋" w:eastAsia="仿宋" w:cs="仿宋"/>
          <w:kern w:val="0"/>
          <w:sz w:val="28"/>
          <w:szCs w:val="28"/>
          <w:highlight w:val="none"/>
          <w:lang w:val="en-US" w:eastAsia="zh-CN"/>
        </w:rPr>
        <w:t>3</w:t>
      </w:r>
      <w:r>
        <w:rPr>
          <w:rFonts w:hint="eastAsia" w:ascii="仿宋" w:hAnsi="仿宋" w:eastAsia="仿宋" w:cs="仿宋"/>
          <w:kern w:val="0"/>
          <w:sz w:val="28"/>
          <w:szCs w:val="28"/>
          <w:highlight w:val="none"/>
          <w:lang w:eastAsia="zh-CN"/>
        </w:rPr>
        <w:t>年</w:t>
      </w:r>
      <w:r>
        <w:rPr>
          <w:rFonts w:hint="eastAsia" w:ascii="仿宋" w:hAnsi="仿宋" w:eastAsia="仿宋" w:cs="仿宋"/>
          <w:kern w:val="0"/>
          <w:sz w:val="28"/>
          <w:szCs w:val="28"/>
          <w:highlight w:val="none"/>
          <w:lang w:val="en-US" w:eastAsia="zh-CN"/>
        </w:rPr>
        <w:t>9</w:t>
      </w:r>
      <w:r>
        <w:rPr>
          <w:rFonts w:hint="eastAsia" w:ascii="仿宋" w:hAnsi="仿宋" w:eastAsia="仿宋" w:cs="仿宋"/>
          <w:kern w:val="0"/>
          <w:sz w:val="28"/>
          <w:szCs w:val="28"/>
          <w:highlight w:val="none"/>
          <w:lang w:eastAsia="zh-CN"/>
        </w:rPr>
        <w:t>月</w:t>
      </w:r>
    </w:p>
    <w:p>
      <w:pPr>
        <w:pStyle w:val="2"/>
        <w:rPr>
          <w:rFonts w:hint="eastAsia"/>
          <w:lang w:eastAsia="zh-CN"/>
        </w:rPr>
      </w:pPr>
    </w:p>
    <w:sdt>
      <w:sdtPr>
        <w:rPr>
          <w:rFonts w:ascii="宋体" w:hAnsi="宋体" w:eastAsia="宋体" w:cs="Times New Roman"/>
          <w:kern w:val="2"/>
          <w:sz w:val="21"/>
          <w:szCs w:val="24"/>
          <w:highlight w:val="none"/>
          <w:lang w:val="en-US" w:eastAsia="zh-CN" w:bidi="ar-SA"/>
        </w:rPr>
        <w:id w:val="147451788"/>
        <w15:color w:val="DBDBDB"/>
        <w:docPartObj>
          <w:docPartGallery w:val="Table of Contents"/>
          <w:docPartUnique/>
        </w:docPartObj>
      </w:sdtPr>
      <w:sdtEndPr>
        <w:rPr>
          <w:rFonts w:ascii="宋体" w:hAnsi="宋体" w:eastAsia="宋体" w:cs="Times New Roman"/>
          <w:b/>
          <w:kern w:val="2"/>
          <w:sz w:val="21"/>
          <w:szCs w:val="24"/>
          <w:highlight w:val="none"/>
          <w:lang w:val="en-US" w:eastAsia="zh-CN" w:bidi="ar-SA"/>
        </w:rPr>
      </w:sdtEndPr>
      <w:sdtContent>
        <w:p>
          <w:pPr>
            <w:spacing w:before="0" w:beforeLines="0" w:after="0" w:afterLines="0" w:line="240" w:lineRule="auto"/>
            <w:ind w:left="0" w:leftChars="0" w:right="0" w:rightChars="0" w:firstLine="0" w:firstLineChars="0"/>
            <w:jc w:val="center"/>
            <w:rPr>
              <w:rFonts w:ascii="宋体" w:hAnsi="宋体" w:eastAsia="宋体" w:cs="Times New Roman"/>
              <w:kern w:val="2"/>
              <w:sz w:val="21"/>
              <w:szCs w:val="24"/>
              <w:highlight w:val="none"/>
              <w:lang w:val="en-US" w:eastAsia="zh-CN" w:bidi="ar-SA"/>
            </w:rPr>
          </w:pPr>
        </w:p>
        <w:p>
          <w:pPr>
            <w:spacing w:before="0" w:beforeLines="0" w:after="0" w:afterLines="0" w:line="240" w:lineRule="auto"/>
            <w:ind w:left="0" w:leftChars="0" w:right="0" w:rightChars="0" w:firstLine="0" w:firstLineChars="0"/>
            <w:jc w:val="center"/>
            <w:rPr>
              <w:rFonts w:hint="eastAsia"/>
              <w:sz w:val="32"/>
              <w:szCs w:val="32"/>
              <w:highlight w:val="none"/>
            </w:rPr>
          </w:pPr>
          <w:r>
            <w:rPr>
              <w:rFonts w:hint="eastAsia" w:ascii="仿宋" w:hAnsi="仿宋" w:eastAsia="仿宋" w:cs="仿宋"/>
              <w:b/>
              <w:bCs/>
              <w:sz w:val="32"/>
              <w:szCs w:val="32"/>
              <w:highlight w:val="none"/>
            </w:rPr>
            <w:t>目录</w:t>
          </w:r>
        </w:p>
        <w:p>
          <w:pPr>
            <w:pStyle w:val="11"/>
            <w:tabs>
              <w:tab w:val="right" w:leader="dot" w:pos="9070"/>
            </w:tabs>
            <w:rPr>
              <w:rFonts w:hint="eastAsia" w:ascii="仿宋" w:hAnsi="仿宋" w:eastAsia="仿宋" w:cs="仿宋"/>
              <w:b/>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TOC \o "1-2" \h \u </w:instrText>
          </w:r>
          <w:r>
            <w:rPr>
              <w:rFonts w:hint="eastAsia" w:ascii="仿宋" w:hAnsi="仿宋" w:eastAsia="仿宋" w:cs="仿宋"/>
              <w:sz w:val="28"/>
              <w:szCs w:val="28"/>
              <w:highlight w:val="none"/>
            </w:rPr>
            <w:fldChar w:fldCharType="separate"/>
          </w:r>
          <w:r>
            <w:rPr>
              <w:rFonts w:hint="eastAsia" w:ascii="仿宋" w:hAnsi="仿宋" w:eastAsia="仿宋" w:cs="仿宋"/>
              <w:b/>
              <w:sz w:val="28"/>
              <w:szCs w:val="28"/>
              <w:highlight w:val="none"/>
            </w:rPr>
            <w:fldChar w:fldCharType="begin"/>
          </w:r>
          <w:r>
            <w:rPr>
              <w:rFonts w:hint="eastAsia" w:ascii="仿宋" w:hAnsi="仿宋" w:eastAsia="仿宋" w:cs="仿宋"/>
              <w:b/>
              <w:sz w:val="28"/>
              <w:szCs w:val="28"/>
              <w:highlight w:val="none"/>
            </w:rPr>
            <w:instrText xml:space="preserve"> HYPERLINK \l _Toc19058 </w:instrText>
          </w:r>
          <w:r>
            <w:rPr>
              <w:rFonts w:hint="eastAsia" w:ascii="仿宋" w:hAnsi="仿宋" w:eastAsia="仿宋" w:cs="仿宋"/>
              <w:b/>
              <w:sz w:val="28"/>
              <w:szCs w:val="28"/>
              <w:highlight w:val="none"/>
            </w:rPr>
            <w:fldChar w:fldCharType="separate"/>
          </w:r>
          <w:r>
            <w:rPr>
              <w:rFonts w:hint="eastAsia" w:ascii="仿宋" w:hAnsi="仿宋" w:eastAsia="仿宋" w:cs="仿宋"/>
              <w:b/>
              <w:bCs/>
              <w:sz w:val="28"/>
              <w:szCs w:val="28"/>
              <w:highlight w:val="none"/>
              <w:lang w:val="en-US" w:eastAsia="zh-CN"/>
            </w:rPr>
            <w:t>一、基本情况</w:t>
          </w:r>
          <w:r>
            <w:rPr>
              <w:rFonts w:hint="eastAsia" w:ascii="仿宋" w:hAnsi="仿宋" w:eastAsia="仿宋" w:cs="仿宋"/>
              <w:b/>
              <w:sz w:val="28"/>
              <w:szCs w:val="28"/>
              <w:highlight w:val="none"/>
            </w:rPr>
            <w:tab/>
          </w:r>
          <w:r>
            <w:rPr>
              <w:rFonts w:hint="eastAsia" w:ascii="仿宋" w:hAnsi="仿宋" w:eastAsia="仿宋" w:cs="仿宋"/>
              <w:b/>
              <w:sz w:val="28"/>
              <w:szCs w:val="28"/>
              <w:highlight w:val="none"/>
            </w:rPr>
            <w:fldChar w:fldCharType="begin"/>
          </w:r>
          <w:r>
            <w:rPr>
              <w:rFonts w:hint="eastAsia" w:ascii="仿宋" w:hAnsi="仿宋" w:eastAsia="仿宋" w:cs="仿宋"/>
              <w:b/>
              <w:sz w:val="28"/>
              <w:szCs w:val="28"/>
              <w:highlight w:val="none"/>
            </w:rPr>
            <w:instrText xml:space="preserve"> PAGEREF _Toc19058 \h </w:instrText>
          </w:r>
          <w:r>
            <w:rPr>
              <w:rFonts w:hint="eastAsia" w:ascii="仿宋" w:hAnsi="仿宋" w:eastAsia="仿宋" w:cs="仿宋"/>
              <w:b/>
              <w:sz w:val="28"/>
              <w:szCs w:val="28"/>
              <w:highlight w:val="none"/>
            </w:rPr>
            <w:fldChar w:fldCharType="separate"/>
          </w:r>
          <w:r>
            <w:rPr>
              <w:rFonts w:hint="eastAsia" w:ascii="仿宋" w:hAnsi="仿宋" w:eastAsia="仿宋" w:cs="仿宋"/>
              <w:b/>
              <w:sz w:val="28"/>
              <w:szCs w:val="28"/>
              <w:highlight w:val="none"/>
            </w:rPr>
            <w:t>1</w:t>
          </w:r>
          <w:r>
            <w:rPr>
              <w:rFonts w:hint="eastAsia" w:ascii="仿宋" w:hAnsi="仿宋" w:eastAsia="仿宋" w:cs="仿宋"/>
              <w:b/>
              <w:sz w:val="28"/>
              <w:szCs w:val="28"/>
              <w:highlight w:val="none"/>
            </w:rPr>
            <w:fldChar w:fldCharType="end"/>
          </w:r>
          <w:r>
            <w:rPr>
              <w:rFonts w:hint="eastAsia" w:ascii="仿宋" w:hAnsi="仿宋" w:eastAsia="仿宋" w:cs="仿宋"/>
              <w:b/>
              <w:sz w:val="28"/>
              <w:szCs w:val="28"/>
              <w:highlight w:val="none"/>
            </w:rPr>
            <w:fldChar w:fldCharType="end"/>
          </w:r>
        </w:p>
        <w:p>
          <w:pPr>
            <w:pStyle w:val="12"/>
            <w:tabs>
              <w:tab w:val="right" w:leader="dot" w:pos="9070"/>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_Toc30136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lang w:eastAsia="zh-CN"/>
            </w:rPr>
            <w:t>（一）部门职能</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_Toc30136 \h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1</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2"/>
            <w:tabs>
              <w:tab w:val="right" w:leader="dot" w:pos="9070"/>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_Toc17615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lang w:eastAsia="zh-CN"/>
            </w:rPr>
            <w:t>（二）机构及人员设置</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_Toc17615 \h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1</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2"/>
            <w:tabs>
              <w:tab w:val="right" w:leader="dot" w:pos="9070"/>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_Toc13952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lang w:eastAsia="zh-CN"/>
            </w:rPr>
            <w:t>（三）部门整体支出绩效</w:t>
          </w:r>
          <w:r>
            <w:rPr>
              <w:rFonts w:hint="eastAsia" w:ascii="仿宋" w:hAnsi="仿宋" w:eastAsia="仿宋" w:cs="仿宋"/>
              <w:sz w:val="28"/>
              <w:szCs w:val="28"/>
              <w:highlight w:val="none"/>
            </w:rPr>
            <w:t>目标</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_Toc13952 \h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2</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2"/>
            <w:tabs>
              <w:tab w:val="right" w:leader="dot" w:pos="9070"/>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_Toc3963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lang w:val="en-US" w:eastAsia="zh-CN"/>
            </w:rPr>
            <w:t>（四）部门整体收支情况</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_Toc3963 \h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3</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1"/>
            <w:tabs>
              <w:tab w:val="right" w:leader="dot" w:pos="9070"/>
            </w:tabs>
            <w:rPr>
              <w:rFonts w:hint="eastAsia" w:ascii="仿宋" w:hAnsi="仿宋" w:eastAsia="仿宋" w:cs="仿宋"/>
              <w:b/>
              <w:sz w:val="28"/>
              <w:szCs w:val="28"/>
              <w:highlight w:val="none"/>
            </w:rPr>
          </w:pPr>
          <w:r>
            <w:rPr>
              <w:rFonts w:hint="eastAsia" w:ascii="仿宋" w:hAnsi="仿宋" w:eastAsia="仿宋" w:cs="仿宋"/>
              <w:b/>
              <w:sz w:val="28"/>
              <w:szCs w:val="28"/>
              <w:highlight w:val="none"/>
            </w:rPr>
            <w:fldChar w:fldCharType="begin"/>
          </w:r>
          <w:r>
            <w:rPr>
              <w:rFonts w:hint="eastAsia" w:ascii="仿宋" w:hAnsi="仿宋" w:eastAsia="仿宋" w:cs="仿宋"/>
              <w:b/>
              <w:sz w:val="28"/>
              <w:szCs w:val="28"/>
              <w:highlight w:val="none"/>
            </w:rPr>
            <w:instrText xml:space="preserve"> HYPERLINK \l _Toc22929 </w:instrText>
          </w:r>
          <w:r>
            <w:rPr>
              <w:rFonts w:hint="eastAsia" w:ascii="仿宋" w:hAnsi="仿宋" w:eastAsia="仿宋" w:cs="仿宋"/>
              <w:b/>
              <w:sz w:val="28"/>
              <w:szCs w:val="28"/>
              <w:highlight w:val="none"/>
            </w:rPr>
            <w:fldChar w:fldCharType="separate"/>
          </w:r>
          <w:r>
            <w:rPr>
              <w:rFonts w:hint="eastAsia" w:ascii="仿宋" w:hAnsi="仿宋" w:eastAsia="仿宋" w:cs="仿宋"/>
              <w:b/>
              <w:bCs/>
              <w:sz w:val="28"/>
              <w:szCs w:val="28"/>
              <w:highlight w:val="none"/>
            </w:rPr>
            <w:t>二、</w:t>
          </w:r>
          <w:r>
            <w:rPr>
              <w:rFonts w:hint="eastAsia" w:ascii="仿宋" w:hAnsi="仿宋" w:eastAsia="仿宋" w:cs="仿宋"/>
              <w:b/>
              <w:bCs/>
              <w:sz w:val="28"/>
              <w:szCs w:val="28"/>
              <w:highlight w:val="none"/>
              <w:lang w:eastAsia="zh-CN"/>
            </w:rPr>
            <w:t>核查工作开展情况</w:t>
          </w:r>
          <w:r>
            <w:rPr>
              <w:rFonts w:hint="eastAsia" w:ascii="仿宋" w:hAnsi="仿宋" w:eastAsia="仿宋" w:cs="仿宋"/>
              <w:b/>
              <w:sz w:val="28"/>
              <w:szCs w:val="28"/>
              <w:highlight w:val="none"/>
            </w:rPr>
            <w:tab/>
          </w:r>
          <w:r>
            <w:rPr>
              <w:rFonts w:hint="eastAsia" w:ascii="仿宋" w:hAnsi="仿宋" w:eastAsia="仿宋" w:cs="仿宋"/>
              <w:b/>
              <w:sz w:val="28"/>
              <w:szCs w:val="28"/>
              <w:highlight w:val="none"/>
            </w:rPr>
            <w:fldChar w:fldCharType="begin"/>
          </w:r>
          <w:r>
            <w:rPr>
              <w:rFonts w:hint="eastAsia" w:ascii="仿宋" w:hAnsi="仿宋" w:eastAsia="仿宋" w:cs="仿宋"/>
              <w:b/>
              <w:sz w:val="28"/>
              <w:szCs w:val="28"/>
              <w:highlight w:val="none"/>
            </w:rPr>
            <w:instrText xml:space="preserve"> PAGEREF _Toc22929 \h </w:instrText>
          </w:r>
          <w:r>
            <w:rPr>
              <w:rFonts w:hint="eastAsia" w:ascii="仿宋" w:hAnsi="仿宋" w:eastAsia="仿宋" w:cs="仿宋"/>
              <w:b/>
              <w:sz w:val="28"/>
              <w:szCs w:val="28"/>
              <w:highlight w:val="none"/>
            </w:rPr>
            <w:fldChar w:fldCharType="separate"/>
          </w:r>
          <w:r>
            <w:rPr>
              <w:rFonts w:hint="eastAsia" w:ascii="仿宋" w:hAnsi="仿宋" w:eastAsia="仿宋" w:cs="仿宋"/>
              <w:b/>
              <w:sz w:val="28"/>
              <w:szCs w:val="28"/>
              <w:highlight w:val="none"/>
            </w:rPr>
            <w:t>3</w:t>
          </w:r>
          <w:r>
            <w:rPr>
              <w:rFonts w:hint="eastAsia" w:ascii="仿宋" w:hAnsi="仿宋" w:eastAsia="仿宋" w:cs="仿宋"/>
              <w:b/>
              <w:sz w:val="28"/>
              <w:szCs w:val="28"/>
              <w:highlight w:val="none"/>
            </w:rPr>
            <w:fldChar w:fldCharType="end"/>
          </w:r>
          <w:r>
            <w:rPr>
              <w:rFonts w:hint="eastAsia" w:ascii="仿宋" w:hAnsi="仿宋" w:eastAsia="仿宋" w:cs="仿宋"/>
              <w:b/>
              <w:sz w:val="28"/>
              <w:szCs w:val="28"/>
              <w:highlight w:val="none"/>
            </w:rPr>
            <w:fldChar w:fldCharType="end"/>
          </w:r>
        </w:p>
        <w:p>
          <w:pPr>
            <w:pStyle w:val="12"/>
            <w:tabs>
              <w:tab w:val="right" w:leader="dot" w:pos="9070"/>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_Toc7852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（一）</w:t>
          </w:r>
          <w:r>
            <w:rPr>
              <w:rFonts w:hint="eastAsia" w:ascii="仿宋" w:hAnsi="仿宋" w:eastAsia="仿宋" w:cs="仿宋"/>
              <w:sz w:val="28"/>
              <w:szCs w:val="28"/>
              <w:highlight w:val="none"/>
              <w:lang w:eastAsia="zh-CN"/>
            </w:rPr>
            <w:t>评价</w:t>
          </w:r>
          <w:r>
            <w:rPr>
              <w:rFonts w:hint="eastAsia" w:ascii="仿宋" w:hAnsi="仿宋" w:eastAsia="仿宋" w:cs="仿宋"/>
              <w:sz w:val="28"/>
              <w:szCs w:val="28"/>
              <w:highlight w:val="none"/>
            </w:rPr>
            <w:t>目的</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_Toc7852 \h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3</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2"/>
            <w:tabs>
              <w:tab w:val="right" w:leader="dot" w:pos="9070"/>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_Toc15857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lang w:eastAsia="zh-CN"/>
            </w:rPr>
            <w:t>（二）评价</w:t>
          </w:r>
          <w:r>
            <w:rPr>
              <w:rFonts w:hint="eastAsia" w:ascii="仿宋" w:hAnsi="仿宋" w:eastAsia="仿宋" w:cs="仿宋"/>
              <w:sz w:val="28"/>
              <w:szCs w:val="28"/>
              <w:highlight w:val="none"/>
            </w:rPr>
            <w:t>过程</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_Toc15857 \h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3</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2"/>
            <w:tabs>
              <w:tab w:val="right" w:leader="dot" w:pos="9070"/>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_Toc19029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（三）</w:t>
          </w:r>
          <w:r>
            <w:rPr>
              <w:rFonts w:hint="eastAsia" w:ascii="仿宋" w:hAnsi="仿宋" w:eastAsia="仿宋" w:cs="仿宋"/>
              <w:sz w:val="28"/>
              <w:szCs w:val="28"/>
              <w:highlight w:val="none"/>
              <w:lang w:eastAsia="zh-CN"/>
            </w:rPr>
            <w:t>评价</w:t>
          </w:r>
          <w:r>
            <w:rPr>
              <w:rFonts w:hint="eastAsia" w:ascii="仿宋" w:hAnsi="仿宋" w:eastAsia="仿宋" w:cs="仿宋"/>
              <w:sz w:val="28"/>
              <w:szCs w:val="28"/>
              <w:highlight w:val="none"/>
            </w:rPr>
            <w:t>原则和方法</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_Toc19029 \h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3</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1"/>
            <w:tabs>
              <w:tab w:val="right" w:leader="dot" w:pos="9070"/>
            </w:tabs>
            <w:rPr>
              <w:rFonts w:hint="eastAsia" w:ascii="仿宋" w:hAnsi="仿宋" w:eastAsia="仿宋" w:cs="仿宋"/>
              <w:sz w:val="28"/>
              <w:szCs w:val="28"/>
              <w:highlight w:val="none"/>
            </w:rPr>
          </w:pPr>
          <w:r>
            <w:rPr>
              <w:rFonts w:hint="eastAsia" w:ascii="仿宋" w:hAnsi="仿宋" w:eastAsia="仿宋" w:cs="仿宋"/>
              <w:b/>
              <w:sz w:val="28"/>
              <w:szCs w:val="28"/>
              <w:highlight w:val="none"/>
            </w:rPr>
            <w:fldChar w:fldCharType="begin"/>
          </w:r>
          <w:r>
            <w:rPr>
              <w:rFonts w:hint="eastAsia" w:ascii="仿宋" w:hAnsi="仿宋" w:eastAsia="仿宋" w:cs="仿宋"/>
              <w:b/>
              <w:sz w:val="28"/>
              <w:szCs w:val="28"/>
              <w:highlight w:val="none"/>
            </w:rPr>
            <w:instrText xml:space="preserve"> HYPERLINK \l _Toc1218 </w:instrText>
          </w:r>
          <w:r>
            <w:rPr>
              <w:rFonts w:hint="eastAsia" w:ascii="仿宋" w:hAnsi="仿宋" w:eastAsia="仿宋" w:cs="仿宋"/>
              <w:b/>
              <w:sz w:val="28"/>
              <w:szCs w:val="28"/>
              <w:highlight w:val="none"/>
            </w:rPr>
            <w:fldChar w:fldCharType="separate"/>
          </w:r>
          <w:r>
            <w:rPr>
              <w:rFonts w:hint="eastAsia" w:ascii="仿宋" w:hAnsi="仿宋" w:eastAsia="仿宋" w:cs="仿宋"/>
              <w:b/>
              <w:bCs/>
              <w:sz w:val="28"/>
              <w:szCs w:val="28"/>
              <w:highlight w:val="none"/>
              <w:lang w:eastAsia="zh-CN"/>
            </w:rPr>
            <w:t>三、核查结论</w:t>
          </w:r>
          <w:r>
            <w:rPr>
              <w:rFonts w:hint="eastAsia" w:ascii="仿宋" w:hAnsi="仿宋" w:eastAsia="仿宋" w:cs="仿宋"/>
              <w:b/>
              <w:sz w:val="28"/>
              <w:szCs w:val="28"/>
              <w:highlight w:val="none"/>
            </w:rPr>
            <w:tab/>
          </w:r>
          <w:r>
            <w:rPr>
              <w:rFonts w:hint="eastAsia" w:ascii="仿宋" w:hAnsi="仿宋" w:eastAsia="仿宋" w:cs="仿宋"/>
              <w:b/>
              <w:sz w:val="28"/>
              <w:szCs w:val="28"/>
              <w:highlight w:val="none"/>
            </w:rPr>
            <w:fldChar w:fldCharType="begin"/>
          </w:r>
          <w:r>
            <w:rPr>
              <w:rFonts w:hint="eastAsia" w:ascii="仿宋" w:hAnsi="仿宋" w:eastAsia="仿宋" w:cs="仿宋"/>
              <w:b/>
              <w:sz w:val="28"/>
              <w:szCs w:val="28"/>
              <w:highlight w:val="none"/>
            </w:rPr>
            <w:instrText xml:space="preserve"> PAGEREF _Toc1218 \h </w:instrText>
          </w:r>
          <w:r>
            <w:rPr>
              <w:rFonts w:hint="eastAsia" w:ascii="仿宋" w:hAnsi="仿宋" w:eastAsia="仿宋" w:cs="仿宋"/>
              <w:b/>
              <w:sz w:val="28"/>
              <w:szCs w:val="28"/>
              <w:highlight w:val="none"/>
            </w:rPr>
            <w:fldChar w:fldCharType="separate"/>
          </w:r>
          <w:r>
            <w:rPr>
              <w:rFonts w:hint="eastAsia" w:ascii="仿宋" w:hAnsi="仿宋" w:eastAsia="仿宋" w:cs="仿宋"/>
              <w:b/>
              <w:sz w:val="28"/>
              <w:szCs w:val="28"/>
              <w:highlight w:val="none"/>
            </w:rPr>
            <w:t>4</w:t>
          </w:r>
          <w:r>
            <w:rPr>
              <w:rFonts w:hint="eastAsia" w:ascii="仿宋" w:hAnsi="仿宋" w:eastAsia="仿宋" w:cs="仿宋"/>
              <w:b/>
              <w:sz w:val="28"/>
              <w:szCs w:val="28"/>
              <w:highlight w:val="none"/>
            </w:rPr>
            <w:fldChar w:fldCharType="end"/>
          </w:r>
          <w:r>
            <w:rPr>
              <w:rFonts w:hint="eastAsia" w:ascii="仿宋" w:hAnsi="仿宋" w:eastAsia="仿宋" w:cs="仿宋"/>
              <w:b/>
              <w:sz w:val="28"/>
              <w:szCs w:val="28"/>
              <w:highlight w:val="none"/>
            </w:rPr>
            <w:fldChar w:fldCharType="end"/>
          </w:r>
        </w:p>
        <w:p>
          <w:pPr>
            <w:pStyle w:val="11"/>
            <w:tabs>
              <w:tab w:val="right" w:leader="dot" w:pos="9070"/>
            </w:tabs>
            <w:rPr>
              <w:rFonts w:hint="eastAsia" w:ascii="仿宋" w:hAnsi="仿宋" w:eastAsia="仿宋" w:cs="仿宋"/>
              <w:b/>
              <w:sz w:val="28"/>
              <w:szCs w:val="28"/>
              <w:highlight w:val="none"/>
            </w:rPr>
          </w:pPr>
          <w:r>
            <w:rPr>
              <w:rFonts w:hint="eastAsia" w:ascii="仿宋" w:hAnsi="仿宋" w:eastAsia="仿宋" w:cs="仿宋"/>
              <w:b/>
              <w:sz w:val="28"/>
              <w:szCs w:val="28"/>
              <w:highlight w:val="none"/>
            </w:rPr>
            <w:fldChar w:fldCharType="begin"/>
          </w:r>
          <w:r>
            <w:rPr>
              <w:rFonts w:hint="eastAsia" w:ascii="仿宋" w:hAnsi="仿宋" w:eastAsia="仿宋" w:cs="仿宋"/>
              <w:b/>
              <w:sz w:val="28"/>
              <w:szCs w:val="28"/>
              <w:highlight w:val="none"/>
            </w:rPr>
            <w:instrText xml:space="preserve"> HYPERLINK \l _Toc3612 </w:instrText>
          </w:r>
          <w:r>
            <w:rPr>
              <w:rFonts w:hint="eastAsia" w:ascii="仿宋" w:hAnsi="仿宋" w:eastAsia="仿宋" w:cs="仿宋"/>
              <w:b/>
              <w:sz w:val="28"/>
              <w:szCs w:val="28"/>
              <w:highlight w:val="none"/>
            </w:rPr>
            <w:fldChar w:fldCharType="separate"/>
          </w:r>
          <w:r>
            <w:rPr>
              <w:rFonts w:hint="eastAsia" w:ascii="仿宋" w:hAnsi="仿宋" w:eastAsia="仿宋" w:cs="仿宋"/>
              <w:b/>
              <w:kern w:val="2"/>
              <w:sz w:val="28"/>
              <w:szCs w:val="28"/>
              <w:highlight w:val="none"/>
              <w:lang w:eastAsia="zh-CN"/>
            </w:rPr>
            <w:t>四、</w:t>
          </w:r>
          <w:r>
            <w:rPr>
              <w:rFonts w:hint="eastAsia" w:ascii="仿宋" w:hAnsi="仿宋" w:eastAsia="仿宋" w:cs="仿宋"/>
              <w:b/>
              <w:kern w:val="2"/>
              <w:sz w:val="28"/>
              <w:szCs w:val="28"/>
              <w:highlight w:val="none"/>
            </w:rPr>
            <w:t>存在问题</w:t>
          </w:r>
          <w:r>
            <w:rPr>
              <w:rFonts w:hint="eastAsia" w:ascii="仿宋" w:hAnsi="仿宋" w:eastAsia="仿宋" w:cs="仿宋"/>
              <w:b/>
              <w:kern w:val="2"/>
              <w:sz w:val="28"/>
              <w:szCs w:val="28"/>
              <w:highlight w:val="none"/>
              <w:lang w:eastAsia="zh-CN"/>
            </w:rPr>
            <w:t>及相关建议</w:t>
          </w:r>
          <w:r>
            <w:rPr>
              <w:rFonts w:hint="eastAsia" w:ascii="仿宋" w:hAnsi="仿宋" w:eastAsia="仿宋" w:cs="仿宋"/>
              <w:b/>
              <w:sz w:val="28"/>
              <w:szCs w:val="28"/>
              <w:highlight w:val="none"/>
            </w:rPr>
            <w:tab/>
          </w:r>
          <w:r>
            <w:rPr>
              <w:rFonts w:hint="eastAsia" w:ascii="仿宋" w:hAnsi="仿宋" w:eastAsia="仿宋" w:cs="仿宋"/>
              <w:b/>
              <w:sz w:val="28"/>
              <w:szCs w:val="28"/>
              <w:highlight w:val="none"/>
            </w:rPr>
            <w:fldChar w:fldCharType="begin"/>
          </w:r>
          <w:r>
            <w:rPr>
              <w:rFonts w:hint="eastAsia" w:ascii="仿宋" w:hAnsi="仿宋" w:eastAsia="仿宋" w:cs="仿宋"/>
              <w:b/>
              <w:sz w:val="28"/>
              <w:szCs w:val="28"/>
              <w:highlight w:val="none"/>
            </w:rPr>
            <w:instrText xml:space="preserve"> PAGEREF _Toc3612 \h </w:instrText>
          </w:r>
          <w:r>
            <w:rPr>
              <w:rFonts w:hint="eastAsia" w:ascii="仿宋" w:hAnsi="仿宋" w:eastAsia="仿宋" w:cs="仿宋"/>
              <w:b/>
              <w:sz w:val="28"/>
              <w:szCs w:val="28"/>
              <w:highlight w:val="none"/>
            </w:rPr>
            <w:fldChar w:fldCharType="separate"/>
          </w:r>
          <w:r>
            <w:rPr>
              <w:rFonts w:hint="eastAsia" w:ascii="仿宋" w:hAnsi="仿宋" w:eastAsia="仿宋" w:cs="仿宋"/>
              <w:b/>
              <w:sz w:val="28"/>
              <w:szCs w:val="28"/>
              <w:highlight w:val="none"/>
            </w:rPr>
            <w:t>5</w:t>
          </w:r>
          <w:r>
            <w:rPr>
              <w:rFonts w:hint="eastAsia" w:ascii="仿宋" w:hAnsi="仿宋" w:eastAsia="仿宋" w:cs="仿宋"/>
              <w:b/>
              <w:sz w:val="28"/>
              <w:szCs w:val="28"/>
              <w:highlight w:val="none"/>
            </w:rPr>
            <w:fldChar w:fldCharType="end"/>
          </w:r>
          <w:r>
            <w:rPr>
              <w:rFonts w:hint="eastAsia" w:ascii="仿宋" w:hAnsi="仿宋" w:eastAsia="仿宋" w:cs="仿宋"/>
              <w:b/>
              <w:sz w:val="28"/>
              <w:szCs w:val="28"/>
              <w:highlight w:val="none"/>
            </w:rPr>
            <w:fldChar w:fldCharType="end"/>
          </w:r>
        </w:p>
        <w:p>
          <w:pPr>
            <w:pStyle w:val="12"/>
            <w:tabs>
              <w:tab w:val="right" w:leader="dot" w:pos="9070"/>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_Toc18552 </w:instrText>
          </w:r>
          <w:r>
            <w:rPr>
              <w:rFonts w:hint="eastAsia" w:ascii="仿宋" w:hAnsi="仿宋" w:eastAsia="仿宋" w:cs="仿宋"/>
              <w:sz w:val="28"/>
              <w:szCs w:val="28"/>
              <w:highlight w:val="none"/>
            </w:rPr>
            <w:fldChar w:fldCharType="separate"/>
          </w:r>
          <w:r>
            <w:rPr>
              <w:rFonts w:hint="eastAsia" w:ascii="仿宋" w:hAnsi="仿宋" w:eastAsia="仿宋" w:cs="仿宋"/>
              <w:bCs w:val="0"/>
              <w:kern w:val="2"/>
              <w:sz w:val="28"/>
              <w:szCs w:val="28"/>
              <w:highlight w:val="none"/>
            </w:rPr>
            <w:t>（一）存在问题</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_Toc18552 \h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5</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2"/>
            <w:tabs>
              <w:tab w:val="right" w:leader="dot" w:pos="9070"/>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_Toc24779 </w:instrText>
          </w:r>
          <w:r>
            <w:rPr>
              <w:rFonts w:hint="eastAsia" w:ascii="仿宋" w:hAnsi="仿宋" w:eastAsia="仿宋" w:cs="仿宋"/>
              <w:sz w:val="28"/>
              <w:szCs w:val="28"/>
              <w:highlight w:val="none"/>
            </w:rPr>
            <w:fldChar w:fldCharType="separate"/>
          </w:r>
          <w:r>
            <w:rPr>
              <w:rFonts w:hint="eastAsia" w:ascii="仿宋" w:hAnsi="仿宋" w:eastAsia="仿宋" w:cs="仿宋"/>
              <w:bCs/>
              <w:kern w:val="2"/>
              <w:sz w:val="28"/>
              <w:szCs w:val="28"/>
              <w:highlight w:val="none"/>
            </w:rPr>
            <w:t>（二）</w:t>
          </w:r>
          <w:r>
            <w:rPr>
              <w:rFonts w:hint="eastAsia" w:ascii="仿宋" w:hAnsi="仿宋" w:eastAsia="仿宋" w:cs="仿宋"/>
              <w:bCs/>
              <w:kern w:val="2"/>
              <w:sz w:val="28"/>
              <w:szCs w:val="28"/>
              <w:highlight w:val="none"/>
              <w:lang w:val="en-US" w:eastAsia="zh-CN"/>
            </w:rPr>
            <w:t>相关建议</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_Toc24779 \h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5</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1"/>
            <w:tabs>
              <w:tab w:val="right" w:leader="dot" w:pos="9070"/>
            </w:tabs>
            <w:rPr>
              <w:rFonts w:hint="eastAsia" w:ascii="仿宋" w:hAnsi="仿宋" w:eastAsia="仿宋" w:cs="仿宋"/>
              <w:b/>
              <w:sz w:val="28"/>
              <w:szCs w:val="28"/>
              <w:highlight w:val="none"/>
            </w:rPr>
          </w:pPr>
          <w:r>
            <w:rPr>
              <w:rFonts w:hint="eastAsia" w:ascii="仿宋" w:hAnsi="仿宋" w:eastAsia="仿宋" w:cs="仿宋"/>
              <w:b/>
              <w:sz w:val="28"/>
              <w:szCs w:val="28"/>
              <w:highlight w:val="none"/>
            </w:rPr>
            <w:fldChar w:fldCharType="begin"/>
          </w:r>
          <w:r>
            <w:rPr>
              <w:rFonts w:hint="eastAsia" w:ascii="仿宋" w:hAnsi="仿宋" w:eastAsia="仿宋" w:cs="仿宋"/>
              <w:b/>
              <w:sz w:val="28"/>
              <w:szCs w:val="28"/>
              <w:highlight w:val="none"/>
            </w:rPr>
            <w:instrText xml:space="preserve"> HYPERLINK \l _Toc7568 </w:instrText>
          </w:r>
          <w:r>
            <w:rPr>
              <w:rFonts w:hint="eastAsia" w:ascii="仿宋" w:hAnsi="仿宋" w:eastAsia="仿宋" w:cs="仿宋"/>
              <w:b/>
              <w:sz w:val="28"/>
              <w:szCs w:val="28"/>
              <w:highlight w:val="none"/>
            </w:rPr>
            <w:fldChar w:fldCharType="separate"/>
          </w:r>
          <w:r>
            <w:rPr>
              <w:rFonts w:hint="eastAsia" w:ascii="仿宋" w:hAnsi="仿宋" w:eastAsia="仿宋" w:cs="仿宋"/>
              <w:b/>
              <w:bCs/>
              <w:kern w:val="2"/>
              <w:sz w:val="28"/>
              <w:szCs w:val="28"/>
              <w:highlight w:val="none"/>
            </w:rPr>
            <w:t>附件：</w:t>
          </w:r>
          <w:r>
            <w:rPr>
              <w:rFonts w:hint="eastAsia" w:ascii="仿宋" w:hAnsi="仿宋" w:eastAsia="仿宋" w:cs="仿宋"/>
              <w:b/>
              <w:bCs/>
              <w:kern w:val="2"/>
              <w:sz w:val="28"/>
              <w:szCs w:val="28"/>
              <w:highlight w:val="none"/>
              <w:lang w:val="en-US" w:eastAsia="zh-CN"/>
            </w:rPr>
            <w:t>湛江市土地储备管理中心2022年度部门整体支出绩效指标评分表</w:t>
          </w:r>
          <w:r>
            <w:rPr>
              <w:rFonts w:hint="eastAsia" w:ascii="仿宋" w:hAnsi="仿宋" w:eastAsia="仿宋" w:cs="仿宋"/>
              <w:b/>
              <w:sz w:val="28"/>
              <w:szCs w:val="28"/>
              <w:highlight w:val="none"/>
            </w:rPr>
            <w:tab/>
          </w:r>
          <w:r>
            <w:rPr>
              <w:rFonts w:hint="eastAsia" w:ascii="仿宋" w:hAnsi="仿宋" w:eastAsia="仿宋" w:cs="仿宋"/>
              <w:b/>
              <w:sz w:val="28"/>
              <w:szCs w:val="28"/>
              <w:highlight w:val="none"/>
            </w:rPr>
            <w:fldChar w:fldCharType="begin"/>
          </w:r>
          <w:r>
            <w:rPr>
              <w:rFonts w:hint="eastAsia" w:ascii="仿宋" w:hAnsi="仿宋" w:eastAsia="仿宋" w:cs="仿宋"/>
              <w:b/>
              <w:sz w:val="28"/>
              <w:szCs w:val="28"/>
              <w:highlight w:val="none"/>
            </w:rPr>
            <w:instrText xml:space="preserve"> PAGEREF _Toc7568 \h </w:instrText>
          </w:r>
          <w:r>
            <w:rPr>
              <w:rFonts w:hint="eastAsia" w:ascii="仿宋" w:hAnsi="仿宋" w:eastAsia="仿宋" w:cs="仿宋"/>
              <w:b/>
              <w:sz w:val="28"/>
              <w:szCs w:val="28"/>
              <w:highlight w:val="none"/>
            </w:rPr>
            <w:fldChar w:fldCharType="separate"/>
          </w:r>
          <w:r>
            <w:rPr>
              <w:rFonts w:hint="eastAsia" w:ascii="仿宋" w:hAnsi="仿宋" w:eastAsia="仿宋" w:cs="仿宋"/>
              <w:b/>
              <w:sz w:val="28"/>
              <w:szCs w:val="28"/>
              <w:highlight w:val="none"/>
            </w:rPr>
            <w:t>6</w:t>
          </w:r>
          <w:r>
            <w:rPr>
              <w:rFonts w:hint="eastAsia" w:ascii="仿宋" w:hAnsi="仿宋" w:eastAsia="仿宋" w:cs="仿宋"/>
              <w:b/>
              <w:sz w:val="28"/>
              <w:szCs w:val="28"/>
              <w:highlight w:val="none"/>
            </w:rPr>
            <w:fldChar w:fldCharType="end"/>
          </w:r>
          <w:r>
            <w:rPr>
              <w:rFonts w:hint="eastAsia" w:ascii="仿宋" w:hAnsi="仿宋" w:eastAsia="仿宋" w:cs="仿宋"/>
              <w:b/>
              <w:sz w:val="28"/>
              <w:szCs w:val="28"/>
              <w:highlight w:val="none"/>
            </w:rPr>
            <w:fldChar w:fldCharType="end"/>
          </w:r>
        </w:p>
        <w:p>
          <w:pPr>
            <w:rPr>
              <w:highlight w:val="none"/>
            </w:rPr>
          </w:pPr>
          <w:r>
            <w:rPr>
              <w:rFonts w:hint="eastAsia" w:ascii="仿宋" w:hAnsi="仿宋" w:eastAsia="仿宋" w:cs="仿宋"/>
              <w:b/>
              <w:sz w:val="28"/>
              <w:szCs w:val="28"/>
              <w:highlight w:val="none"/>
            </w:rPr>
            <w:fldChar w:fldCharType="end"/>
          </w:r>
        </w:p>
      </w:sdtContent>
    </w:sdt>
    <w:p>
      <w:pPr>
        <w:rPr>
          <w:rFonts w:hint="eastAsia" w:eastAsia="宋体"/>
          <w:highlight w:val="none"/>
          <w:lang w:eastAsia="zh-CN"/>
        </w:rPr>
        <w:sectPr>
          <w:headerReference r:id="rId3" w:type="default"/>
          <w:footerReference r:id="rId4" w:type="default"/>
          <w:pgSz w:w="11906" w:h="16838"/>
          <w:pgMar w:top="1418" w:right="1418" w:bottom="1418" w:left="1418" w:header="851" w:footer="992" w:gutter="0"/>
          <w:pgNumType w:fmt="decimal" w:start="1"/>
          <w:cols w:space="720" w:num="1"/>
          <w:docGrid w:type="lines" w:linePitch="312" w:charSpace="0"/>
        </w:sectPr>
      </w:pPr>
    </w:p>
    <w:tbl>
      <w:tblPr>
        <w:tblStyle w:val="8"/>
        <w:tblW w:w="0" w:type="auto"/>
        <w:jc w:val="center"/>
        <w:tblLayout w:type="fixed"/>
        <w:tblCellMar>
          <w:top w:w="0" w:type="dxa"/>
          <w:left w:w="108" w:type="dxa"/>
          <w:bottom w:w="0" w:type="dxa"/>
          <w:right w:w="108" w:type="dxa"/>
        </w:tblCellMar>
      </w:tblPr>
      <w:tblGrid>
        <w:gridCol w:w="1276"/>
        <w:gridCol w:w="7226"/>
      </w:tblGrid>
      <w:tr>
        <w:trPr>
          <w:cantSplit/>
          <w:trHeight w:val="629" w:hRule="atLeast"/>
          <w:jc w:val="center"/>
        </w:trPr>
        <w:tc>
          <w:tcPr>
            <w:tcW w:w="1276" w:type="dxa"/>
            <w:vMerge w:val="restart"/>
          </w:tcPr>
          <w:tbl>
            <w:tblPr>
              <w:tblStyle w:val="8"/>
              <w:tblW w:w="0" w:type="auto"/>
              <w:tblInd w:w="0" w:type="dxa"/>
              <w:tblLayout w:type="fixed"/>
              <w:tblCellMar>
                <w:top w:w="0" w:type="dxa"/>
                <w:left w:w="108" w:type="dxa"/>
                <w:bottom w:w="0" w:type="dxa"/>
                <w:right w:w="108" w:type="dxa"/>
              </w:tblCellMar>
            </w:tblPr>
            <w:tblGrid>
              <w:gridCol w:w="2522"/>
              <w:gridCol w:w="2522"/>
            </w:tblGrid>
            <w:tr>
              <w:trPr>
                <w:cantSplit/>
                <w:trHeight w:val="458" w:hRule="atLeast"/>
              </w:trPr>
              <w:tc>
                <w:tcPr>
                  <w:tcW w:w="2522" w:type="dxa"/>
                  <w:vMerge w:val="restart"/>
                </w:tcPr>
                <w:p>
                  <w:pPr>
                    <w:rPr>
                      <w:highlight w:val="none"/>
                    </w:rPr>
                  </w:pPr>
                  <w:r>
                    <w:rPr>
                      <w:szCs w:val="24"/>
                      <w:highlight w:val="none"/>
                    </w:rPr>
                    <w:drawing>
                      <wp:anchor distT="0" distB="0" distL="114300" distR="114300" simplePos="0" relativeHeight="251659264" behindDoc="0" locked="0" layoutInCell="1" allowOverlap="1">
                        <wp:simplePos x="0" y="0"/>
                        <wp:positionH relativeFrom="column">
                          <wp:posOffset>-62865</wp:posOffset>
                        </wp:positionH>
                        <wp:positionV relativeFrom="paragraph">
                          <wp:posOffset>-1270</wp:posOffset>
                        </wp:positionV>
                        <wp:extent cx="695325" cy="695325"/>
                        <wp:effectExtent l="0" t="0" r="15875" b="15875"/>
                        <wp:wrapNone/>
                        <wp:docPr id="19" name="图片 19" descr="诚安信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诚安信LOG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695325" cy="695325"/>
                                </a:xfrm>
                                <a:prstGeom prst="rect">
                                  <a:avLst/>
                                </a:prstGeom>
                                <a:noFill/>
                                <a:ln>
                                  <a:noFill/>
                                </a:ln>
                              </pic:spPr>
                            </pic:pic>
                          </a:graphicData>
                        </a:graphic>
                      </wp:anchor>
                    </w:drawing>
                  </w:r>
                </w:p>
              </w:tc>
              <w:tc>
                <w:tcPr>
                  <w:tcW w:w="2522" w:type="dxa"/>
                </w:tcPr>
                <w:p>
                  <w:pPr>
                    <w:spacing w:line="240" w:lineRule="atLeast"/>
                    <w:jc w:val="center"/>
                    <w:rPr>
                      <w:szCs w:val="24"/>
                      <w:highlight w:val="none"/>
                    </w:rPr>
                  </w:pPr>
                </w:p>
              </w:tc>
            </w:tr>
            <w:tr>
              <w:trPr>
                <w:cantSplit/>
                <w:trHeight w:val="254" w:hRule="atLeast"/>
              </w:trPr>
              <w:tc>
                <w:tcPr>
                  <w:tcW w:w="2522" w:type="dxa"/>
                  <w:vMerge w:val="continue"/>
                  <w:vAlign w:val="center"/>
                </w:tcPr>
                <w:p>
                  <w:pPr>
                    <w:rPr>
                      <w:rFonts w:eastAsia="隶书"/>
                      <w:sz w:val="22"/>
                      <w:szCs w:val="24"/>
                      <w:highlight w:val="none"/>
                    </w:rPr>
                  </w:pPr>
                </w:p>
              </w:tc>
              <w:tc>
                <w:tcPr>
                  <w:tcW w:w="2522" w:type="dxa"/>
                </w:tcPr>
                <w:p>
                  <w:pPr>
                    <w:rPr>
                      <w:rFonts w:eastAsia="隶书"/>
                      <w:sz w:val="22"/>
                      <w:szCs w:val="24"/>
                      <w:highlight w:val="none"/>
                    </w:rPr>
                  </w:pPr>
                </w:p>
              </w:tc>
            </w:tr>
          </w:tbl>
          <w:p>
            <w:pPr>
              <w:rPr>
                <w:highlight w:val="none"/>
              </w:rPr>
            </w:pPr>
            <w:r>
              <w:rPr>
                <w:sz w:val="21"/>
                <w:highlight w:val="none"/>
              </w:rPr>
              <mc:AlternateContent>
                <mc:Choice Requires="wps">
                  <w:drawing>
                    <wp:anchor distT="0" distB="0" distL="114300" distR="114300" simplePos="0" relativeHeight="251660288" behindDoc="0" locked="0" layoutInCell="1" allowOverlap="1">
                      <wp:simplePos x="0" y="0"/>
                      <wp:positionH relativeFrom="column">
                        <wp:posOffset>-11430</wp:posOffset>
                      </wp:positionH>
                      <wp:positionV relativeFrom="paragraph">
                        <wp:posOffset>254635</wp:posOffset>
                      </wp:positionV>
                      <wp:extent cx="5353050" cy="0"/>
                      <wp:effectExtent l="0" t="9525" r="0" b="9525"/>
                      <wp:wrapNone/>
                      <wp:docPr id="9" name="直接连接符 9"/>
                      <wp:cNvGraphicFramePr/>
                      <a:graphic xmlns:a="http://schemas.openxmlformats.org/drawingml/2006/main">
                        <a:graphicData uri="http://schemas.microsoft.com/office/word/2010/wordprocessingShape">
                          <wps:wsp>
                            <wps:cNvCnPr/>
                            <wps:spPr>
                              <a:xfrm>
                                <a:off x="1097280" y="1628775"/>
                                <a:ext cx="5353050"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9pt;margin-top:20.05pt;height:0pt;width:421.5pt;z-index:251660288;mso-width-relative:page;mso-height-relative:page;" filled="f" stroked="t" coordsize="21600,21600" o:gfxdata="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oJqHW2AAAAAgBAAAPAAAAAAAAAAEAIAAAADgAAABk&#10;cnMvZG93bnJldi54bWxQSwECFAAUAAAACACHTuJAczO++PABAAC+AwAADgAAAAAAAAABACAAAAA9&#10;AQAAZHJzL2Uyb0RvYy54bWxQSwUGAAAAAAYABgBZAQAAnwUAAAAA&#10;">
                      <v:fill on="f" focussize="0,0"/>
                      <v:stroke weight="1.5pt" color="#000000 [3200]" miterlimit="8" joinstyle="miter"/>
                      <v:imagedata o:title=""/>
                      <o:lock v:ext="edit" aspectratio="f"/>
                    </v:line>
                  </w:pict>
                </mc:Fallback>
              </mc:AlternateContent>
            </w:r>
          </w:p>
        </w:tc>
        <w:tc>
          <w:tcPr>
            <w:tcW w:w="7226" w:type="dxa"/>
            <w:vAlign w:val="center"/>
          </w:tcPr>
          <w:p>
            <w:pPr>
              <w:jc w:val="center"/>
              <w:rPr>
                <w:rFonts w:ascii="黑体" w:hAnsi="黑体" w:eastAsia="黑体"/>
                <w:b/>
                <w:sz w:val="30"/>
                <w:szCs w:val="30"/>
                <w:highlight w:val="none"/>
              </w:rPr>
            </w:pPr>
            <w:r>
              <w:rPr>
                <w:rFonts w:hint="eastAsia" w:ascii="黑体" w:hAnsi="黑体" w:eastAsia="黑体"/>
                <w:b/>
                <w:spacing w:val="40"/>
                <w:sz w:val="30"/>
                <w:szCs w:val="30"/>
                <w:highlight w:val="none"/>
              </w:rPr>
              <w:t>广东诚安信会计师事务所（特殊普通合伙）</w:t>
            </w:r>
            <w:r>
              <w:rPr>
                <w:rFonts w:ascii="Times New Roman" w:hAnsi="Times New Roman" w:eastAsia="Arial Unicode MS" w:cs="Times New Roman"/>
                <w:b/>
                <w:bCs/>
                <w:kern w:val="0"/>
                <w:sz w:val="18"/>
                <w:szCs w:val="18"/>
                <w:highlight w:val="none"/>
              </w:rPr>
              <w:t>GUANGDONG  CHENGANXIN  CERTIFIED  PUBLIC  ACCOUNTANTS  LLP</w:t>
            </w:r>
          </w:p>
        </w:tc>
      </w:tr>
      <w:tr>
        <w:trPr>
          <w:cantSplit/>
          <w:trHeight w:val="411" w:hRule="atLeast"/>
          <w:jc w:val="center"/>
        </w:trPr>
        <w:tc>
          <w:tcPr>
            <w:tcW w:w="1276" w:type="dxa"/>
            <w:vMerge w:val="continue"/>
            <w:vAlign w:val="center"/>
          </w:tcPr>
          <w:p>
            <w:pPr>
              <w:rPr>
                <w:highlight w:val="none"/>
              </w:rPr>
            </w:pPr>
          </w:p>
        </w:tc>
        <w:tc>
          <w:tcPr>
            <w:tcW w:w="7226" w:type="dxa"/>
            <w:vAlign w:val="center"/>
          </w:tcPr>
          <w:p>
            <w:pPr>
              <w:widowControl/>
              <w:jc w:val="center"/>
              <w:rPr>
                <w:rFonts w:ascii="Times New Roman" w:hAnsi="Times New Roman" w:eastAsia="Arial Unicode MS" w:cs="Times New Roman"/>
                <w:b/>
                <w:bCs/>
                <w:kern w:val="0"/>
                <w:sz w:val="18"/>
                <w:szCs w:val="18"/>
                <w:highlight w:val="none"/>
              </w:rPr>
            </w:pPr>
          </w:p>
        </w:tc>
      </w:tr>
    </w:tbl>
    <w:p>
      <w:pPr>
        <w:keepNext w:val="0"/>
        <w:keepLines w:val="0"/>
        <w:pageBreakBefore w:val="0"/>
        <w:widowControl w:val="0"/>
        <w:kinsoku/>
        <w:wordWrap/>
        <w:overflowPunct/>
        <w:topLinePunct w:val="0"/>
        <w:autoSpaceDE/>
        <w:autoSpaceDN/>
        <w:bidi w:val="0"/>
        <w:adjustRightInd/>
        <w:snapToGrid/>
        <w:spacing w:line="600" w:lineRule="exact"/>
        <w:jc w:val="right"/>
        <w:textAlignment w:val="auto"/>
        <w:outlineLvl w:val="9"/>
        <w:rPr>
          <w:rFonts w:hint="eastAsia" w:ascii="仿宋_GB2312" w:hAnsi="仿宋_GB2312" w:eastAsia="仿宋_GB2312" w:cs="仿宋_GB2312"/>
          <w:color w:val="000000" w:themeColor="text1"/>
          <w:sz w:val="24"/>
          <w:szCs w:val="24"/>
          <w:highlight w:val="none"/>
          <w14:textFill>
            <w14:solidFill>
              <w14:schemeClr w14:val="tx1"/>
            </w14:solidFill>
          </w14:textFill>
        </w:rPr>
      </w:pPr>
      <w:bookmarkStart w:id="0" w:name="_Toc6468"/>
      <w:r>
        <w:rPr>
          <w:rFonts w:hint="eastAsia" w:ascii="仿宋" w:hAnsi="仿宋" w:eastAsia="仿宋" w:cs="仿宋"/>
          <w:color w:val="auto"/>
          <w:kern w:val="2"/>
          <w:sz w:val="24"/>
          <w:szCs w:val="24"/>
          <w:highlight w:val="none"/>
        </w:rPr>
        <w:t>诚信审咨[202</w:t>
      </w:r>
      <w:r>
        <w:rPr>
          <w:rFonts w:hint="eastAsia" w:ascii="仿宋" w:hAnsi="仿宋" w:eastAsia="仿宋" w:cs="仿宋"/>
          <w:color w:val="auto"/>
          <w:kern w:val="2"/>
          <w:sz w:val="24"/>
          <w:szCs w:val="24"/>
          <w:highlight w:val="none"/>
          <w:lang w:val="en-US" w:eastAsia="zh-CN"/>
        </w:rPr>
        <w:t>3</w:t>
      </w:r>
      <w:r>
        <w:rPr>
          <w:rFonts w:hint="eastAsia" w:ascii="仿宋" w:hAnsi="仿宋" w:eastAsia="仿宋" w:cs="仿宋"/>
          <w:color w:val="auto"/>
          <w:kern w:val="2"/>
          <w:sz w:val="24"/>
          <w:szCs w:val="24"/>
          <w:highlight w:val="none"/>
        </w:rPr>
        <w:t>]</w:t>
      </w:r>
      <w:r>
        <w:rPr>
          <w:rFonts w:hint="eastAsia" w:ascii="仿宋" w:hAnsi="仿宋" w:eastAsia="仿宋" w:cs="仿宋"/>
          <w:color w:val="auto"/>
          <w:kern w:val="2"/>
          <w:sz w:val="24"/>
          <w:szCs w:val="24"/>
          <w:highlight w:val="none"/>
          <w:lang w:val="en-US" w:eastAsia="zh-CN"/>
        </w:rPr>
        <w:t>XXXX</w:t>
      </w:r>
      <w:r>
        <w:rPr>
          <w:rFonts w:hint="eastAsia" w:ascii="仿宋" w:hAnsi="仿宋" w:eastAsia="仿宋" w:cs="仿宋"/>
          <w:color w:val="auto"/>
          <w:kern w:val="2"/>
          <w:sz w:val="24"/>
          <w:szCs w:val="24"/>
          <w:highlight w:val="none"/>
        </w:rPr>
        <w:t>号</w:t>
      </w:r>
      <w:bookmarkEnd w:id="0"/>
    </w:p>
    <w:p>
      <w:pPr>
        <w:pStyle w:val="10"/>
        <w:rPr>
          <w:rFonts w:hint="eastAsia"/>
          <w:highlight w:val="none"/>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宋体" w:hAnsi="宋体" w:eastAsia="宋体" w:cs="宋体"/>
          <w:b/>
          <w:bCs/>
          <w:sz w:val="36"/>
          <w:szCs w:val="36"/>
          <w:highlight w:val="none"/>
        </w:rPr>
      </w:pPr>
      <w:r>
        <w:rPr>
          <w:rFonts w:hint="eastAsia" w:ascii="宋体" w:hAnsi="宋体" w:cs="宋体"/>
          <w:b/>
          <w:bCs/>
          <w:sz w:val="36"/>
          <w:szCs w:val="36"/>
          <w:highlight w:val="none"/>
          <w:lang w:eastAsia="zh-CN"/>
        </w:rPr>
        <w:t>湛江市土地储备管理中心</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宋体" w:hAnsi="宋体" w:eastAsia="宋体" w:cs="宋体"/>
          <w:b/>
          <w:bCs/>
          <w:sz w:val="36"/>
          <w:szCs w:val="36"/>
          <w:highlight w:val="none"/>
        </w:rPr>
      </w:pPr>
      <w:r>
        <w:rPr>
          <w:rFonts w:hint="eastAsia" w:ascii="宋体" w:hAnsi="宋体" w:cs="宋体"/>
          <w:b/>
          <w:bCs/>
          <w:sz w:val="36"/>
          <w:szCs w:val="36"/>
          <w:highlight w:val="none"/>
          <w:lang w:eastAsia="zh-CN"/>
        </w:rPr>
        <w:t>2022年</w:t>
      </w:r>
      <w:r>
        <w:rPr>
          <w:rFonts w:hint="eastAsia" w:ascii="宋体" w:hAnsi="宋体" w:eastAsia="宋体" w:cs="宋体"/>
          <w:b/>
          <w:bCs/>
          <w:sz w:val="36"/>
          <w:szCs w:val="36"/>
          <w:highlight w:val="none"/>
        </w:rPr>
        <w:t>度</w:t>
      </w:r>
      <w:r>
        <w:rPr>
          <w:rFonts w:hint="eastAsia" w:ascii="宋体" w:hAnsi="宋体" w:cs="宋体"/>
          <w:b/>
          <w:bCs/>
          <w:sz w:val="36"/>
          <w:szCs w:val="36"/>
          <w:highlight w:val="none"/>
          <w:lang w:eastAsia="zh-CN"/>
        </w:rPr>
        <w:t>部门</w:t>
      </w:r>
      <w:r>
        <w:rPr>
          <w:rFonts w:hint="eastAsia" w:ascii="宋体" w:hAnsi="宋体" w:eastAsia="宋体" w:cs="宋体"/>
          <w:b/>
          <w:bCs/>
          <w:sz w:val="36"/>
          <w:szCs w:val="36"/>
          <w:highlight w:val="none"/>
        </w:rPr>
        <w:t>整体</w:t>
      </w:r>
      <w:r>
        <w:rPr>
          <w:rFonts w:hint="eastAsia" w:ascii="宋体" w:hAnsi="宋体" w:eastAsia="宋体" w:cs="宋体"/>
          <w:b/>
          <w:bCs/>
          <w:sz w:val="36"/>
          <w:szCs w:val="36"/>
          <w:highlight w:val="none"/>
          <w:lang w:eastAsia="zh-CN"/>
        </w:rPr>
        <w:t>支出</w:t>
      </w:r>
      <w:r>
        <w:rPr>
          <w:rFonts w:hint="eastAsia" w:ascii="宋体" w:hAnsi="宋体" w:eastAsia="宋体" w:cs="宋体"/>
          <w:b/>
          <w:bCs/>
          <w:sz w:val="36"/>
          <w:szCs w:val="36"/>
          <w:highlight w:val="none"/>
        </w:rPr>
        <w:t>绩效</w:t>
      </w:r>
      <w:r>
        <w:rPr>
          <w:rFonts w:hint="eastAsia" w:ascii="宋体" w:hAnsi="宋体" w:cs="宋体"/>
          <w:b/>
          <w:bCs/>
          <w:sz w:val="36"/>
          <w:szCs w:val="36"/>
          <w:highlight w:val="none"/>
          <w:lang w:eastAsia="zh-CN"/>
        </w:rPr>
        <w:t>核查</w:t>
      </w:r>
      <w:r>
        <w:rPr>
          <w:rFonts w:hint="eastAsia" w:ascii="宋体" w:hAnsi="宋体" w:eastAsia="宋体" w:cs="宋体"/>
          <w:b/>
          <w:bCs/>
          <w:sz w:val="36"/>
          <w:szCs w:val="36"/>
          <w:highlight w:val="none"/>
        </w:rPr>
        <w:t>报告</w:t>
      </w:r>
    </w:p>
    <w:p>
      <w:pPr>
        <w:keepNext w:val="0"/>
        <w:keepLines w:val="0"/>
        <w:pageBreakBefore w:val="0"/>
        <w:kinsoku/>
        <w:wordWrap/>
        <w:overflowPunct/>
        <w:topLinePunct w:val="0"/>
        <w:autoSpaceDE/>
        <w:autoSpaceDN/>
        <w:bidi w:val="0"/>
        <w:spacing w:line="360" w:lineRule="auto"/>
        <w:jc w:val="both"/>
        <w:textAlignment w:val="auto"/>
        <w:outlineLvl w:val="9"/>
        <w:rPr>
          <w:rFonts w:hint="eastAsia" w:ascii="仿宋" w:hAnsi="仿宋" w:eastAsia="仿宋" w:cs="仿宋"/>
          <w:b/>
          <w:color w:val="auto"/>
          <w:sz w:val="32"/>
          <w:szCs w:val="32"/>
          <w:highlight w:val="none"/>
          <w:lang w:val="en-US" w:eastAsia="zh-CN"/>
        </w:rPr>
      </w:pPr>
      <w:bookmarkStart w:id="1" w:name="_Toc646"/>
    </w:p>
    <w:bookmarkEnd w:id="1"/>
    <w:p>
      <w:pPr>
        <w:keepNext w:val="0"/>
        <w:keepLines w:val="0"/>
        <w:pageBreakBefore w:val="0"/>
        <w:kinsoku/>
        <w:wordWrap/>
        <w:overflowPunct/>
        <w:topLinePunct w:val="0"/>
        <w:autoSpaceDE/>
        <w:autoSpaceDN/>
        <w:bidi w:val="0"/>
        <w:adjustRightInd/>
        <w:snapToGrid w:val="0"/>
        <w:spacing w:line="560" w:lineRule="exact"/>
        <w:jc w:val="both"/>
        <w:textAlignment w:val="auto"/>
        <w:outlineLvl w:val="0"/>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湛江市财政局：</w:t>
      </w:r>
    </w:p>
    <w:p>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jc w:val="both"/>
        <w:textAlignment w:val="auto"/>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根据《国务院关于进一步深化预算管理制度改革的意见》（国发〔2021〕5号）、《广东省人民政府关于加强统筹进一步深化预算管理制度改革的实施意见》（粤府〔2021〕34 号）的文件精神，</w:t>
      </w:r>
      <w:r>
        <w:rPr>
          <w:rFonts w:hint="eastAsia" w:ascii="仿宋" w:hAnsi="仿宋" w:eastAsia="仿宋" w:cs="仿宋"/>
          <w:color w:val="auto"/>
          <w:kern w:val="2"/>
          <w:sz w:val="28"/>
          <w:szCs w:val="28"/>
          <w:highlight w:val="none"/>
          <w:lang w:eastAsia="zh-CN"/>
        </w:rPr>
        <w:t>按照湛江市财政局《湛江财政局关于开展</w:t>
      </w:r>
      <w:r>
        <w:rPr>
          <w:rFonts w:hint="eastAsia" w:ascii="仿宋" w:hAnsi="仿宋" w:eastAsia="仿宋" w:cs="仿宋"/>
          <w:color w:val="auto"/>
          <w:kern w:val="2"/>
          <w:sz w:val="28"/>
          <w:szCs w:val="28"/>
          <w:highlight w:val="none"/>
          <w:lang w:val="en-US" w:eastAsia="zh-CN"/>
        </w:rPr>
        <w:t>2023年市级财政资金绩效自评工作的通知</w:t>
      </w:r>
      <w:r>
        <w:rPr>
          <w:rFonts w:hint="eastAsia" w:ascii="仿宋" w:hAnsi="仿宋" w:eastAsia="仿宋" w:cs="仿宋"/>
          <w:color w:val="auto"/>
          <w:kern w:val="2"/>
          <w:sz w:val="28"/>
          <w:szCs w:val="28"/>
          <w:highlight w:val="none"/>
          <w:lang w:eastAsia="zh-CN"/>
        </w:rPr>
        <w:t>》（湛财绩</w:t>
      </w:r>
      <w:r>
        <w:rPr>
          <w:rFonts w:hint="eastAsia" w:ascii="仿宋" w:hAnsi="仿宋" w:eastAsia="仿宋" w:cs="仿宋"/>
          <w:color w:val="auto"/>
          <w:kern w:val="2"/>
          <w:sz w:val="28"/>
          <w:szCs w:val="28"/>
          <w:highlight w:val="none"/>
        </w:rPr>
        <w:t>〔</w:t>
      </w:r>
      <w:r>
        <w:rPr>
          <w:rFonts w:hint="eastAsia" w:ascii="仿宋" w:hAnsi="仿宋" w:eastAsia="仿宋" w:cs="仿宋"/>
          <w:color w:val="auto"/>
          <w:kern w:val="2"/>
          <w:sz w:val="28"/>
          <w:szCs w:val="28"/>
          <w:highlight w:val="none"/>
          <w:lang w:val="en-US" w:eastAsia="zh-CN"/>
        </w:rPr>
        <w:t>2023</w:t>
      </w:r>
      <w:r>
        <w:rPr>
          <w:rFonts w:hint="eastAsia" w:ascii="仿宋" w:hAnsi="仿宋" w:eastAsia="仿宋" w:cs="仿宋"/>
          <w:color w:val="auto"/>
          <w:kern w:val="2"/>
          <w:sz w:val="28"/>
          <w:szCs w:val="28"/>
          <w:highlight w:val="none"/>
        </w:rPr>
        <w:t>〕</w:t>
      </w:r>
      <w:r>
        <w:rPr>
          <w:rFonts w:hint="eastAsia" w:ascii="仿宋" w:hAnsi="仿宋" w:eastAsia="仿宋" w:cs="仿宋"/>
          <w:color w:val="auto"/>
          <w:kern w:val="2"/>
          <w:sz w:val="28"/>
          <w:szCs w:val="28"/>
          <w:highlight w:val="none"/>
          <w:lang w:val="en-US" w:eastAsia="zh-CN"/>
        </w:rPr>
        <w:t>2号</w:t>
      </w:r>
      <w:r>
        <w:rPr>
          <w:rFonts w:hint="eastAsia" w:ascii="仿宋" w:hAnsi="仿宋" w:eastAsia="仿宋" w:cs="仿宋"/>
          <w:color w:val="auto"/>
          <w:kern w:val="2"/>
          <w:sz w:val="28"/>
          <w:szCs w:val="28"/>
          <w:highlight w:val="none"/>
          <w:lang w:eastAsia="zh-CN"/>
        </w:rPr>
        <w:t>）</w:t>
      </w:r>
      <w:r>
        <w:rPr>
          <w:rFonts w:hint="eastAsia" w:ascii="仿宋" w:hAnsi="仿宋" w:eastAsia="仿宋" w:cs="仿宋"/>
          <w:color w:val="auto"/>
          <w:kern w:val="2"/>
          <w:sz w:val="28"/>
          <w:szCs w:val="28"/>
          <w:highlight w:val="none"/>
        </w:rPr>
        <w:t>有关</w:t>
      </w:r>
      <w:r>
        <w:rPr>
          <w:rFonts w:hint="eastAsia" w:ascii="仿宋" w:hAnsi="仿宋" w:eastAsia="仿宋" w:cs="仿宋"/>
          <w:color w:val="auto"/>
          <w:kern w:val="2"/>
          <w:sz w:val="28"/>
          <w:szCs w:val="28"/>
          <w:highlight w:val="none"/>
          <w:lang w:eastAsia="zh-CN"/>
        </w:rPr>
        <w:t>通知</w:t>
      </w:r>
      <w:r>
        <w:rPr>
          <w:rFonts w:hint="eastAsia" w:ascii="仿宋" w:hAnsi="仿宋" w:eastAsia="仿宋" w:cs="仿宋"/>
          <w:color w:val="auto"/>
          <w:kern w:val="2"/>
          <w:sz w:val="28"/>
          <w:szCs w:val="28"/>
          <w:highlight w:val="none"/>
        </w:rPr>
        <w:t>要求，受</w:t>
      </w:r>
      <w:r>
        <w:rPr>
          <w:rFonts w:hint="eastAsia" w:ascii="仿宋" w:hAnsi="仿宋" w:eastAsia="仿宋" w:cs="仿宋"/>
          <w:color w:val="auto"/>
          <w:kern w:val="2"/>
          <w:sz w:val="28"/>
          <w:szCs w:val="28"/>
          <w:highlight w:val="none"/>
          <w:lang w:eastAsia="zh-CN"/>
        </w:rPr>
        <w:t>贵局</w:t>
      </w:r>
      <w:r>
        <w:rPr>
          <w:rFonts w:hint="eastAsia" w:ascii="仿宋" w:hAnsi="仿宋" w:eastAsia="仿宋" w:cs="仿宋"/>
          <w:color w:val="auto"/>
          <w:kern w:val="2"/>
          <w:sz w:val="28"/>
          <w:szCs w:val="28"/>
          <w:highlight w:val="none"/>
        </w:rPr>
        <w:t>委托，</w:t>
      </w:r>
      <w:r>
        <w:rPr>
          <w:rFonts w:hint="eastAsia" w:ascii="仿宋" w:hAnsi="仿宋" w:eastAsia="仿宋" w:cs="仿宋"/>
          <w:kern w:val="0"/>
          <w:sz w:val="28"/>
          <w:szCs w:val="28"/>
          <w:highlight w:val="none"/>
          <w:lang w:eastAsia="zh-CN"/>
        </w:rPr>
        <w:t>本事务所</w:t>
      </w:r>
      <w:r>
        <w:rPr>
          <w:rFonts w:hint="eastAsia" w:ascii="仿宋" w:hAnsi="仿宋" w:eastAsia="仿宋" w:cs="仿宋"/>
          <w:color w:val="auto"/>
          <w:sz w:val="28"/>
          <w:szCs w:val="28"/>
          <w:highlight w:val="none"/>
          <w:lang w:val="en-US" w:eastAsia="zh-CN"/>
        </w:rPr>
        <w:t>对湛江市土地储备管理中心2022年度部门整体支出绩效</w:t>
      </w:r>
      <w:r>
        <w:rPr>
          <w:rFonts w:hint="eastAsia" w:ascii="仿宋" w:hAnsi="仿宋" w:eastAsia="仿宋" w:cs="仿宋"/>
          <w:color w:val="auto"/>
          <w:sz w:val="28"/>
          <w:szCs w:val="28"/>
          <w:highlight w:val="none"/>
          <w:lang w:eastAsia="zh-CN"/>
        </w:rPr>
        <w:t>进行</w:t>
      </w:r>
      <w:r>
        <w:rPr>
          <w:rFonts w:hint="eastAsia" w:ascii="仿宋" w:hAnsi="仿宋" w:eastAsia="仿宋" w:cs="仿宋"/>
          <w:color w:val="auto"/>
          <w:sz w:val="28"/>
          <w:szCs w:val="28"/>
          <w:highlight w:val="none"/>
        </w:rPr>
        <w:t>评价</w:t>
      </w:r>
      <w:r>
        <w:rPr>
          <w:rFonts w:hint="eastAsia" w:ascii="仿宋" w:hAnsi="仿宋" w:eastAsia="仿宋" w:cs="仿宋"/>
          <w:color w:val="auto"/>
          <w:kern w:val="2"/>
          <w:sz w:val="28"/>
          <w:szCs w:val="28"/>
          <w:highlight w:val="none"/>
        </w:rPr>
        <w:t>。</w:t>
      </w:r>
      <w:r>
        <w:rPr>
          <w:rFonts w:hint="eastAsia" w:ascii="仿宋" w:hAnsi="仿宋" w:eastAsia="仿宋" w:cs="仿宋"/>
          <w:color w:val="auto"/>
          <w:sz w:val="28"/>
          <w:szCs w:val="28"/>
          <w:highlight w:val="none"/>
          <w:lang w:val="en-US" w:eastAsia="zh-CN"/>
        </w:rPr>
        <w:t>专家小组通过对</w:t>
      </w:r>
      <w:r>
        <w:rPr>
          <w:rFonts w:hint="eastAsia" w:ascii="仿宋" w:hAnsi="仿宋" w:eastAsia="仿宋" w:cs="仿宋"/>
          <w:color w:val="auto"/>
          <w:kern w:val="2"/>
          <w:sz w:val="28"/>
          <w:szCs w:val="28"/>
          <w:highlight w:val="none"/>
          <w:lang w:val="en-US" w:eastAsia="zh-CN" w:bidi="ar-SA"/>
        </w:rPr>
        <w:t>湛江市土地储备管理中心</w:t>
      </w:r>
      <w:r>
        <w:rPr>
          <w:rFonts w:hint="eastAsia" w:ascii="仿宋" w:hAnsi="仿宋" w:eastAsia="仿宋" w:cs="仿宋"/>
          <w:color w:val="auto"/>
          <w:sz w:val="28"/>
          <w:szCs w:val="28"/>
          <w:highlight w:val="none"/>
          <w:lang w:val="en-US" w:eastAsia="zh-CN"/>
        </w:rPr>
        <w:t>的涉评材料审核、资金使用管理的合法、合规、合理的审查，询问了解，进行综合分析、客观公正评价，得出评价结论，</w:t>
      </w:r>
      <w:r>
        <w:rPr>
          <w:rFonts w:hint="eastAsia" w:ascii="仿宋" w:hAnsi="仿宋" w:eastAsia="仿宋" w:cs="仿宋"/>
          <w:color w:val="auto"/>
          <w:kern w:val="2"/>
          <w:sz w:val="28"/>
          <w:szCs w:val="28"/>
          <w:highlight w:val="none"/>
        </w:rPr>
        <w:t>并形成《</w:t>
      </w:r>
      <w:r>
        <w:rPr>
          <w:rFonts w:hint="eastAsia" w:ascii="仿宋" w:hAnsi="仿宋" w:eastAsia="仿宋" w:cs="仿宋"/>
          <w:color w:val="auto"/>
          <w:sz w:val="28"/>
          <w:szCs w:val="28"/>
          <w:highlight w:val="none"/>
          <w:lang w:val="en-US" w:eastAsia="zh-CN"/>
        </w:rPr>
        <w:t>湛江市土地储备管理中心2022年度部门整体支出</w:t>
      </w:r>
      <w:r>
        <w:rPr>
          <w:rFonts w:hint="eastAsia" w:ascii="仿宋" w:hAnsi="仿宋" w:eastAsia="仿宋" w:cs="仿宋"/>
          <w:color w:val="auto"/>
          <w:sz w:val="28"/>
          <w:szCs w:val="28"/>
          <w:highlight w:val="none"/>
        </w:rPr>
        <w:t>绩效</w:t>
      </w:r>
      <w:r>
        <w:rPr>
          <w:rFonts w:hint="eastAsia" w:ascii="仿宋" w:hAnsi="仿宋" w:eastAsia="仿宋" w:cs="仿宋"/>
          <w:color w:val="auto"/>
          <w:sz w:val="28"/>
          <w:szCs w:val="28"/>
          <w:highlight w:val="none"/>
          <w:lang w:eastAsia="zh-CN"/>
        </w:rPr>
        <w:t>核查</w:t>
      </w:r>
      <w:r>
        <w:rPr>
          <w:rFonts w:hint="eastAsia" w:ascii="仿宋" w:hAnsi="仿宋" w:eastAsia="仿宋" w:cs="仿宋"/>
          <w:color w:val="auto"/>
          <w:sz w:val="28"/>
          <w:szCs w:val="28"/>
          <w:highlight w:val="none"/>
        </w:rPr>
        <w:t>报告</w:t>
      </w:r>
      <w:r>
        <w:rPr>
          <w:rFonts w:hint="eastAsia" w:ascii="仿宋" w:hAnsi="仿宋" w:eastAsia="仿宋" w:cs="仿宋"/>
          <w:color w:val="auto"/>
          <w:kern w:val="2"/>
          <w:sz w:val="28"/>
          <w:szCs w:val="28"/>
          <w:highlight w:val="none"/>
        </w:rPr>
        <w:t>》，报告内容具体如下：</w:t>
      </w:r>
    </w:p>
    <w:p>
      <w:pPr>
        <w:keepNext w:val="0"/>
        <w:keepLines w:val="0"/>
        <w:pageBreakBefore w:val="0"/>
        <w:widowControl w:val="0"/>
        <w:kinsoku/>
        <w:wordWrap/>
        <w:overflowPunct/>
        <w:topLinePunct w:val="0"/>
        <w:autoSpaceDE/>
        <w:autoSpaceDN/>
        <w:bidi w:val="0"/>
        <w:adjustRightInd/>
        <w:snapToGrid w:val="0"/>
        <w:spacing w:line="560" w:lineRule="exact"/>
        <w:ind w:firstLine="562" w:firstLineChars="200"/>
        <w:jc w:val="both"/>
        <w:textAlignment w:val="auto"/>
        <w:outlineLvl w:val="0"/>
        <w:rPr>
          <w:rFonts w:hint="default" w:ascii="仿宋" w:hAnsi="仿宋" w:eastAsia="仿宋" w:cs="仿宋"/>
          <w:b/>
          <w:bCs/>
          <w:color w:val="auto"/>
          <w:sz w:val="28"/>
          <w:szCs w:val="28"/>
          <w:highlight w:val="none"/>
          <w:lang w:val="en-US" w:eastAsia="zh-CN"/>
        </w:rPr>
      </w:pPr>
      <w:bookmarkStart w:id="2" w:name="_Toc17798"/>
      <w:bookmarkStart w:id="3" w:name="_Toc19058"/>
      <w:r>
        <w:rPr>
          <w:rFonts w:hint="eastAsia" w:ascii="仿宋" w:hAnsi="仿宋" w:eastAsia="仿宋" w:cs="仿宋"/>
          <w:b/>
          <w:bCs/>
          <w:color w:val="auto"/>
          <w:sz w:val="28"/>
          <w:szCs w:val="28"/>
          <w:highlight w:val="none"/>
          <w:lang w:val="en-US" w:eastAsia="zh-CN"/>
        </w:rPr>
        <w:t>一、</w:t>
      </w:r>
      <w:bookmarkEnd w:id="2"/>
      <w:r>
        <w:rPr>
          <w:rFonts w:hint="eastAsia" w:ascii="仿宋" w:hAnsi="仿宋" w:eastAsia="仿宋" w:cs="仿宋"/>
          <w:b/>
          <w:bCs/>
          <w:color w:val="auto"/>
          <w:sz w:val="28"/>
          <w:szCs w:val="28"/>
          <w:highlight w:val="none"/>
          <w:lang w:val="en-US" w:eastAsia="zh-CN"/>
        </w:rPr>
        <w:t>基本情况</w:t>
      </w:r>
      <w:bookmarkEnd w:id="3"/>
    </w:p>
    <w:p>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jc w:val="both"/>
        <w:textAlignment w:val="auto"/>
        <w:outlineLvl w:val="1"/>
        <w:rPr>
          <w:rFonts w:hint="eastAsia" w:ascii="仿宋" w:hAnsi="仿宋" w:eastAsia="仿宋" w:cs="仿宋"/>
          <w:color w:val="auto"/>
          <w:sz w:val="28"/>
          <w:szCs w:val="28"/>
          <w:highlight w:val="none"/>
          <w:lang w:eastAsia="zh-CN"/>
        </w:rPr>
      </w:pPr>
      <w:bookmarkStart w:id="4" w:name="_Toc6078"/>
      <w:bookmarkStart w:id="5" w:name="_Toc30136"/>
      <w:r>
        <w:rPr>
          <w:rFonts w:hint="eastAsia" w:ascii="仿宋" w:hAnsi="仿宋" w:eastAsia="仿宋" w:cs="仿宋"/>
          <w:color w:val="auto"/>
          <w:sz w:val="28"/>
          <w:szCs w:val="28"/>
          <w:highlight w:val="none"/>
          <w:lang w:eastAsia="zh-CN"/>
        </w:rPr>
        <w:t>（一）</w:t>
      </w:r>
      <w:bookmarkEnd w:id="4"/>
      <w:r>
        <w:rPr>
          <w:rFonts w:hint="eastAsia" w:ascii="仿宋" w:hAnsi="仿宋" w:eastAsia="仿宋" w:cs="仿宋"/>
          <w:color w:val="auto"/>
          <w:sz w:val="28"/>
          <w:szCs w:val="28"/>
          <w:highlight w:val="none"/>
          <w:lang w:eastAsia="zh-CN"/>
        </w:rPr>
        <w:t>部门职能</w:t>
      </w:r>
      <w:bookmarkEnd w:id="5"/>
      <w:bookmarkStart w:id="6" w:name="_Toc14172"/>
      <w:bookmarkStart w:id="7" w:name="_Toc17615"/>
    </w:p>
    <w:p>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jc w:val="both"/>
        <w:textAlignment w:val="auto"/>
        <w:outlineLvl w:val="1"/>
        <w:rPr>
          <w:rFonts w:hint="eastAsia" w:ascii="仿宋" w:hAnsi="仿宋" w:eastAsia="仿宋" w:cs="仿宋"/>
          <w:color w:val="auto"/>
          <w:kern w:val="2"/>
          <w:sz w:val="28"/>
          <w:szCs w:val="28"/>
          <w:highlight w:val="none"/>
          <w:lang w:val="en-US" w:eastAsia="zh-CN" w:bidi="ar-SA"/>
        </w:rPr>
      </w:pPr>
      <w:r>
        <w:rPr>
          <w:rFonts w:hint="eastAsia" w:ascii="仿宋" w:hAnsi="仿宋" w:eastAsia="仿宋" w:cs="仿宋"/>
          <w:color w:val="auto"/>
          <w:kern w:val="2"/>
          <w:sz w:val="28"/>
          <w:szCs w:val="28"/>
          <w:highlight w:val="none"/>
          <w:lang w:val="en-US" w:eastAsia="zh-CN" w:bidi="ar-SA"/>
        </w:rPr>
        <w:t xml:space="preserve">湛江市土地储备管理中心成立于2002年底，为市政府委托湛江市自然资源局管理的公益一类事业单位，副处级。主要职能 是:拟定和执行市区土地储备规划、土地收储及土地供应计划; 实施土地收回、收购、置换、征收及储备土地的清场管护、前期开发、土地供应、办理委托土地交易事项等相关的具体事务性工作;负责资金筹措、编制和执行土地储备资金收支预算决算;依法维护储备土地的合法权益;承办市委政府和上级部门交办的其他工作。 </w:t>
      </w:r>
    </w:p>
    <w:p>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jc w:val="both"/>
        <w:textAlignment w:val="auto"/>
        <w:outlineLvl w:val="1"/>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（二）</w:t>
      </w:r>
      <w:bookmarkEnd w:id="6"/>
      <w:r>
        <w:rPr>
          <w:rFonts w:hint="eastAsia" w:ascii="仿宋" w:hAnsi="仿宋" w:eastAsia="仿宋" w:cs="仿宋"/>
          <w:color w:val="auto"/>
          <w:sz w:val="28"/>
          <w:szCs w:val="28"/>
          <w:highlight w:val="none"/>
          <w:lang w:eastAsia="zh-CN"/>
        </w:rPr>
        <w:t>机构及人员设置</w:t>
      </w:r>
      <w:bookmarkEnd w:id="7"/>
    </w:p>
    <w:p>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jc w:val="both"/>
        <w:textAlignment w:val="auto"/>
        <w:outlineLvl w:val="1"/>
        <w:rPr>
          <w:rFonts w:hint="eastAsia" w:ascii="仿宋" w:hAnsi="仿宋" w:eastAsia="仿宋" w:cs="仿宋"/>
          <w:color w:val="auto"/>
          <w:sz w:val="28"/>
          <w:szCs w:val="28"/>
          <w:highlight w:val="none"/>
          <w:lang w:val="en-US" w:eastAsia="zh-CN"/>
        </w:rPr>
      </w:pPr>
      <w:bookmarkStart w:id="8" w:name="_Toc7652"/>
      <w:bookmarkStart w:id="9" w:name="_Toc13952"/>
      <w:r>
        <w:rPr>
          <w:rFonts w:hint="eastAsia" w:ascii="仿宋" w:hAnsi="仿宋" w:eastAsia="仿宋" w:cs="仿宋"/>
          <w:color w:val="auto"/>
          <w:kern w:val="2"/>
          <w:sz w:val="28"/>
          <w:szCs w:val="28"/>
          <w:highlight w:val="none"/>
          <w:u w:val="none"/>
          <w:shd w:val="clear"/>
          <w:lang w:val="en-US" w:eastAsia="zh-CN" w:bidi="ar-SA"/>
        </w:rPr>
        <w:t>根据上述任务，湛江市土地储备管理中心内设4个机构：办公室、</w:t>
      </w:r>
      <w:r>
        <w:rPr>
          <w:rFonts w:hint="eastAsia" w:ascii="仿宋" w:hAnsi="仿宋" w:eastAsia="仿宋" w:cs="仿宋"/>
          <w:color w:val="auto"/>
          <w:sz w:val="28"/>
          <w:szCs w:val="28"/>
          <w:highlight w:val="none"/>
          <w:lang w:val="en-US" w:eastAsia="zh-CN"/>
        </w:rPr>
        <w:t>储备科、经营科和法规科。</w:t>
      </w:r>
    </w:p>
    <w:p>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jc w:val="both"/>
        <w:textAlignment w:val="auto"/>
        <w:outlineLvl w:val="1"/>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eastAsia="zh-CN"/>
        </w:rPr>
        <w:t>（三）部门整体支出绩效目标</w:t>
      </w:r>
      <w:bookmarkEnd w:id="8"/>
      <w:bookmarkEnd w:id="9"/>
    </w:p>
    <w:p>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jc w:val="both"/>
        <w:textAlignment w:val="auto"/>
        <w:outlineLvl w:val="1"/>
        <w:rPr>
          <w:rFonts w:hint="eastAsia" w:ascii="仿宋" w:hAnsi="仿宋" w:eastAsia="仿宋" w:cs="仿宋"/>
          <w:color w:val="auto"/>
          <w:sz w:val="28"/>
          <w:szCs w:val="28"/>
          <w:highlight w:val="none"/>
          <w:lang w:val="en-US" w:eastAsia="zh-CN"/>
        </w:rPr>
      </w:pPr>
      <w:bookmarkStart w:id="10" w:name="_Toc16787"/>
      <w:r>
        <w:rPr>
          <w:rFonts w:hint="eastAsia" w:ascii="仿宋" w:hAnsi="仿宋" w:eastAsia="仿宋" w:cs="仿宋"/>
          <w:color w:val="auto"/>
          <w:sz w:val="28"/>
          <w:szCs w:val="28"/>
          <w:highlight w:val="none"/>
          <w:lang w:val="en-US" w:eastAsia="zh-CN"/>
        </w:rPr>
        <w:t>1.总体绩效目标</w:t>
      </w:r>
    </w:p>
    <w:p>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jc w:val="both"/>
        <w:textAlignment w:val="auto"/>
        <w:outlineLvl w:val="1"/>
        <w:rPr>
          <w:rFonts w:hint="eastAsia" w:ascii="仿宋" w:hAnsi="仿宋" w:eastAsia="仿宋" w:cs="仿宋"/>
          <w:color w:val="auto"/>
          <w:kern w:val="2"/>
          <w:sz w:val="28"/>
          <w:szCs w:val="28"/>
          <w:highlight w:val="none"/>
          <w:lang w:val="en-US" w:eastAsia="zh-CN" w:bidi="ar-SA"/>
        </w:rPr>
      </w:pPr>
      <w:r>
        <w:rPr>
          <w:rFonts w:hint="eastAsia" w:ascii="仿宋" w:hAnsi="仿宋" w:eastAsia="仿宋" w:cs="仿宋"/>
          <w:color w:val="auto"/>
          <w:kern w:val="2"/>
          <w:sz w:val="28"/>
          <w:szCs w:val="28"/>
          <w:highlight w:val="none"/>
          <w:lang w:val="en-US" w:eastAsia="zh-CN" w:bidi="ar-SA"/>
        </w:rPr>
        <w:t xml:space="preserve">目标1：土地收储。2022-2024年滚动计划收储土地53665.27亩，其中新增建设用地44041.01亩，存量土地9624.26亩。2022年度计划收储土地5869.22亩（其中收储新增建设用地16宗，面积4680亩；存量土地8宗，面积1189.22亩）。 </w:t>
      </w:r>
    </w:p>
    <w:p>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jc w:val="both"/>
        <w:textAlignment w:val="auto"/>
        <w:outlineLvl w:val="1"/>
        <w:rPr>
          <w:rFonts w:hint="eastAsia" w:ascii="仿宋" w:hAnsi="仿宋" w:eastAsia="仿宋" w:cs="仿宋"/>
          <w:color w:val="auto"/>
          <w:kern w:val="2"/>
          <w:sz w:val="28"/>
          <w:szCs w:val="28"/>
          <w:highlight w:val="none"/>
          <w:lang w:val="en-US" w:eastAsia="zh-CN" w:bidi="ar-SA"/>
        </w:rPr>
      </w:pPr>
      <w:r>
        <w:rPr>
          <w:rFonts w:hint="eastAsia" w:ascii="仿宋" w:hAnsi="仿宋" w:eastAsia="仿宋" w:cs="仿宋"/>
          <w:color w:val="auto"/>
          <w:kern w:val="2"/>
          <w:sz w:val="28"/>
          <w:szCs w:val="28"/>
          <w:highlight w:val="none"/>
          <w:lang w:val="en-US" w:eastAsia="zh-CN" w:bidi="ar-SA"/>
        </w:rPr>
        <w:t xml:space="preserve">目标2：土地供应。拟供应土地58宗，面积约6703.1亩，预计供地收入约1153547万元。其中库存土地42宗，面积约3571.1亩，预计收入512547万元；需新收储土地约16宗，面约3132亩，预计收入641000万元。 </w:t>
      </w:r>
    </w:p>
    <w:p>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jc w:val="both"/>
        <w:textAlignment w:val="auto"/>
        <w:outlineLvl w:val="1"/>
        <w:rPr>
          <w:rFonts w:hint="eastAsia" w:ascii="仿宋" w:hAnsi="仿宋" w:eastAsia="仿宋" w:cs="仿宋"/>
          <w:color w:val="auto"/>
          <w:kern w:val="2"/>
          <w:sz w:val="28"/>
          <w:szCs w:val="28"/>
          <w:highlight w:val="none"/>
          <w:lang w:val="en-US" w:eastAsia="zh-CN" w:bidi="ar-SA"/>
        </w:rPr>
      </w:pPr>
      <w:r>
        <w:rPr>
          <w:rFonts w:hint="eastAsia" w:ascii="仿宋" w:hAnsi="仿宋" w:eastAsia="仿宋" w:cs="仿宋"/>
          <w:color w:val="auto"/>
          <w:kern w:val="2"/>
          <w:sz w:val="28"/>
          <w:szCs w:val="28"/>
          <w:highlight w:val="none"/>
          <w:lang w:val="en-US" w:eastAsia="zh-CN" w:bidi="ar-SA"/>
        </w:rPr>
        <w:t>目标3：土地清场管护。2022年度计划清场地块22宗2514亩，其中：霞山区范围内的地块3宗；赤坎区范围内的地块1宗；麻章区范围内的地块5宗；开发区管委会范围内的地块3宗；坡头区范围内的地块7宗；市国资委和国资公司下属企业地块 3宗。</w:t>
      </w:r>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2.项目支出绩效目标</w:t>
      </w:r>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目标1：土地收储及前期开发费用35万元。</w:t>
      </w:r>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目标2：</w:t>
      </w:r>
      <w:r>
        <w:rPr>
          <w:rFonts w:hint="eastAsia" w:ascii="仿宋" w:hAnsi="仿宋" w:eastAsia="仿宋" w:cs="仿宋"/>
          <w:color w:val="000000" w:themeColor="text1"/>
          <w:sz w:val="28"/>
          <w:szCs w:val="28"/>
          <w:highlight w:val="none"/>
          <w:lang w:val="en-US" w:eastAsia="zh-CN"/>
          <w14:textFill>
            <w14:solidFill>
              <w14:schemeClr w14:val="tx1"/>
            </w14:solidFill>
          </w14:textFill>
        </w:rPr>
        <w:t>湛江市区地价评估费200万元</w:t>
      </w:r>
      <w:r>
        <w:rPr>
          <w:rFonts w:hint="eastAsia" w:ascii="仿宋" w:hAnsi="仿宋" w:eastAsia="仿宋" w:cs="仿宋"/>
          <w:color w:val="auto"/>
          <w:sz w:val="28"/>
          <w:szCs w:val="28"/>
          <w:highlight w:val="none"/>
          <w:lang w:val="en-US" w:eastAsia="zh-CN"/>
        </w:rPr>
        <w:t>。</w:t>
      </w:r>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目标3: 业务经费350万元。</w:t>
      </w:r>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目标4: 借调人员经费20万元。</w:t>
      </w:r>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目标5:办公场地租赁费14.67万元。</w:t>
      </w:r>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outlineLvl w:val="1"/>
        <w:rPr>
          <w:rFonts w:hint="eastAsia" w:ascii="仿宋" w:hAnsi="仿宋" w:eastAsia="仿宋" w:cs="仿宋"/>
          <w:color w:val="auto"/>
          <w:sz w:val="28"/>
          <w:szCs w:val="28"/>
          <w:highlight w:val="none"/>
          <w:lang w:val="en-US" w:eastAsia="zh-CN"/>
        </w:rPr>
      </w:pPr>
      <w:bookmarkStart w:id="11" w:name="_Toc3963"/>
      <w:r>
        <w:rPr>
          <w:rFonts w:hint="eastAsia" w:ascii="仿宋" w:hAnsi="仿宋" w:eastAsia="仿宋" w:cs="仿宋"/>
          <w:color w:val="auto"/>
          <w:sz w:val="28"/>
          <w:szCs w:val="28"/>
          <w:highlight w:val="none"/>
          <w:lang w:val="en-US" w:eastAsia="zh-CN"/>
        </w:rPr>
        <w:t>（四）</w:t>
      </w:r>
      <w:bookmarkEnd w:id="10"/>
      <w:r>
        <w:rPr>
          <w:rFonts w:hint="eastAsia" w:ascii="仿宋" w:hAnsi="仿宋" w:eastAsia="仿宋" w:cs="仿宋"/>
          <w:color w:val="auto"/>
          <w:sz w:val="28"/>
          <w:szCs w:val="28"/>
          <w:highlight w:val="none"/>
          <w:lang w:val="en-US" w:eastAsia="zh-CN"/>
        </w:rPr>
        <w:t>部门整体收支情况</w:t>
      </w:r>
      <w:bookmarkEnd w:id="11"/>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rPr>
          <w:rFonts w:hint="eastAsia" w:ascii="仿宋" w:hAnsi="仿宋" w:eastAsia="仿宋" w:cs="仿宋"/>
          <w:color w:val="auto"/>
          <w:sz w:val="28"/>
          <w:szCs w:val="28"/>
          <w:highlight w:val="none"/>
          <w:lang w:val="en-US" w:eastAsia="zh-CN"/>
        </w:rPr>
      </w:pPr>
      <w:bookmarkStart w:id="12" w:name="_Toc6754"/>
      <w:r>
        <w:rPr>
          <w:rFonts w:hint="eastAsia" w:ascii="仿宋" w:hAnsi="仿宋" w:eastAsia="仿宋" w:cs="仿宋"/>
          <w:color w:val="auto"/>
          <w:sz w:val="28"/>
          <w:szCs w:val="28"/>
          <w:highlight w:val="none"/>
          <w:lang w:val="en-US" w:eastAsia="zh-CN"/>
        </w:rPr>
        <w:t>2022年度年初收支预算，预算收入数351096.34万元，其中：一般公共预算拨款546.34万元，政府性基金预算拨款350550.00万元。支出预算351096.34万元，其中基本支出预算506.78万元，项目支出预算350589.56万元，</w:t>
      </w:r>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2022年实际收入数3601.99万元，一般公共预算财政拨款收入742.23万元</w:t>
      </w:r>
      <w:r>
        <w:rPr>
          <w:rFonts w:hint="default" w:ascii="仿宋" w:hAnsi="仿宋" w:eastAsia="仿宋" w:cs="仿宋"/>
          <w:color w:val="auto"/>
          <w:sz w:val="28"/>
          <w:szCs w:val="28"/>
          <w:highlight w:val="none"/>
          <w:lang w:val="en-US" w:eastAsia="zh-CN"/>
        </w:rPr>
        <w:t>,</w:t>
      </w:r>
      <w:r>
        <w:rPr>
          <w:rFonts w:hint="eastAsia" w:ascii="仿宋" w:hAnsi="仿宋" w:eastAsia="仿宋" w:cs="仿宋"/>
          <w:color w:val="auto"/>
          <w:sz w:val="28"/>
          <w:szCs w:val="28"/>
          <w:highlight w:val="none"/>
          <w:lang w:val="en-US" w:eastAsia="zh-CN"/>
        </w:rPr>
        <w:t>政府性基金预算财政拨款2859.76万元。实际支出数</w:t>
      </w:r>
      <w:bookmarkStart w:id="37" w:name="_GoBack"/>
      <w:r>
        <w:rPr>
          <w:rFonts w:hint="eastAsia" w:ascii="仿宋" w:hAnsi="仿宋" w:eastAsia="仿宋" w:cs="仿宋"/>
          <w:color w:val="auto"/>
          <w:sz w:val="28"/>
          <w:szCs w:val="28"/>
          <w:highlight w:val="none"/>
          <w:lang w:val="en-US" w:eastAsia="zh-CN"/>
        </w:rPr>
        <w:t>3601.79万元</w:t>
      </w:r>
      <w:bookmarkEnd w:id="37"/>
      <w:r>
        <w:rPr>
          <w:rFonts w:hint="eastAsia" w:ascii="仿宋" w:hAnsi="仿宋" w:eastAsia="仿宋" w:cs="仿宋"/>
          <w:color w:val="auto"/>
          <w:sz w:val="28"/>
          <w:szCs w:val="28"/>
          <w:highlight w:val="none"/>
          <w:lang w:val="en-US" w:eastAsia="zh-CN"/>
        </w:rPr>
        <w:t>，其中基本支出706.36万元，项目支出2895.43万元。</w:t>
      </w:r>
    </w:p>
    <w:p>
      <w:pPr>
        <w:keepNext w:val="0"/>
        <w:keepLines w:val="0"/>
        <w:pageBreakBefore w:val="0"/>
        <w:kinsoku/>
        <w:wordWrap/>
        <w:overflowPunct/>
        <w:topLinePunct w:val="0"/>
        <w:autoSpaceDE/>
        <w:autoSpaceDN/>
        <w:bidi w:val="0"/>
        <w:adjustRightInd/>
        <w:snapToGrid w:val="0"/>
        <w:spacing w:line="560" w:lineRule="exact"/>
        <w:ind w:firstLine="562" w:firstLineChars="200"/>
        <w:jc w:val="both"/>
        <w:textAlignment w:val="auto"/>
        <w:outlineLvl w:val="0"/>
        <w:rPr>
          <w:rFonts w:hint="eastAsia" w:ascii="仿宋" w:hAnsi="仿宋" w:eastAsia="仿宋" w:cs="仿宋"/>
          <w:b/>
          <w:bCs/>
          <w:color w:val="auto"/>
          <w:sz w:val="28"/>
          <w:szCs w:val="28"/>
          <w:highlight w:val="none"/>
          <w:lang w:eastAsia="zh-CN"/>
        </w:rPr>
      </w:pPr>
      <w:bookmarkStart w:id="13" w:name="_Toc22929"/>
      <w:r>
        <w:rPr>
          <w:rFonts w:hint="eastAsia" w:ascii="仿宋" w:hAnsi="仿宋" w:eastAsia="仿宋" w:cs="仿宋"/>
          <w:b/>
          <w:bCs/>
          <w:color w:val="auto"/>
          <w:sz w:val="28"/>
          <w:szCs w:val="28"/>
          <w:highlight w:val="none"/>
        </w:rPr>
        <w:t>二、</w:t>
      </w:r>
      <w:bookmarkEnd w:id="12"/>
      <w:r>
        <w:rPr>
          <w:rFonts w:hint="eastAsia" w:ascii="仿宋" w:hAnsi="仿宋" w:eastAsia="仿宋" w:cs="仿宋"/>
          <w:b/>
          <w:bCs/>
          <w:color w:val="auto"/>
          <w:sz w:val="28"/>
          <w:szCs w:val="28"/>
          <w:highlight w:val="none"/>
          <w:lang w:eastAsia="zh-CN"/>
        </w:rPr>
        <w:t>核查工作开展情况</w:t>
      </w:r>
      <w:bookmarkEnd w:id="13"/>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outlineLvl w:val="1"/>
        <w:rPr>
          <w:rFonts w:hint="eastAsia" w:ascii="仿宋" w:hAnsi="仿宋" w:eastAsia="仿宋" w:cs="仿宋"/>
          <w:color w:val="auto"/>
          <w:sz w:val="28"/>
          <w:szCs w:val="28"/>
          <w:highlight w:val="none"/>
        </w:rPr>
      </w:pPr>
      <w:bookmarkStart w:id="14" w:name="_Toc10065"/>
      <w:bookmarkStart w:id="15" w:name="_Toc7852"/>
      <w:r>
        <w:rPr>
          <w:rFonts w:hint="eastAsia" w:ascii="仿宋" w:hAnsi="仿宋" w:eastAsia="仿宋" w:cs="仿宋"/>
          <w:color w:val="auto"/>
          <w:sz w:val="28"/>
          <w:szCs w:val="28"/>
          <w:highlight w:val="none"/>
        </w:rPr>
        <w:t>（一）</w:t>
      </w:r>
      <w:r>
        <w:rPr>
          <w:rFonts w:hint="eastAsia" w:ascii="仿宋" w:hAnsi="仿宋" w:eastAsia="仿宋" w:cs="仿宋"/>
          <w:color w:val="auto"/>
          <w:sz w:val="28"/>
          <w:szCs w:val="28"/>
          <w:highlight w:val="none"/>
          <w:lang w:eastAsia="zh-CN"/>
        </w:rPr>
        <w:t>评价</w:t>
      </w:r>
      <w:r>
        <w:rPr>
          <w:rFonts w:hint="eastAsia" w:ascii="仿宋" w:hAnsi="仿宋" w:eastAsia="仿宋" w:cs="仿宋"/>
          <w:color w:val="auto"/>
          <w:sz w:val="28"/>
          <w:szCs w:val="28"/>
          <w:highlight w:val="none"/>
        </w:rPr>
        <w:t>目的</w:t>
      </w:r>
      <w:bookmarkEnd w:id="14"/>
      <w:bookmarkEnd w:id="15"/>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通过运用科学、规范、合理的评价方法、评价指标和评分标准，对财政资金的分配、管理、使用、产出及效果等进行客观、公正的测量、分析和评判，评价绩效水平，发现存在问题，并分析问题成因，提出进一步加强资金管理的意见建议。</w:t>
      </w:r>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outlineLvl w:val="1"/>
        <w:rPr>
          <w:rFonts w:hint="eastAsia" w:ascii="仿宋" w:hAnsi="仿宋" w:eastAsia="仿宋" w:cs="仿宋"/>
          <w:color w:val="auto"/>
          <w:sz w:val="28"/>
          <w:szCs w:val="28"/>
          <w:highlight w:val="none"/>
        </w:rPr>
      </w:pPr>
      <w:bookmarkStart w:id="16" w:name="_Toc20897"/>
      <w:bookmarkStart w:id="17" w:name="_Toc15857"/>
      <w:r>
        <w:rPr>
          <w:rFonts w:hint="eastAsia" w:ascii="仿宋" w:hAnsi="仿宋" w:eastAsia="仿宋" w:cs="仿宋"/>
          <w:color w:val="auto"/>
          <w:sz w:val="28"/>
          <w:szCs w:val="28"/>
          <w:highlight w:val="none"/>
          <w:lang w:eastAsia="zh-CN"/>
        </w:rPr>
        <w:t>（二）评价</w:t>
      </w:r>
      <w:r>
        <w:rPr>
          <w:rFonts w:hint="eastAsia" w:ascii="仿宋" w:hAnsi="仿宋" w:eastAsia="仿宋" w:cs="仿宋"/>
          <w:color w:val="auto"/>
          <w:sz w:val="28"/>
          <w:szCs w:val="28"/>
          <w:highlight w:val="none"/>
        </w:rPr>
        <w:t>过程</w:t>
      </w:r>
      <w:bookmarkEnd w:id="16"/>
      <w:bookmarkEnd w:id="17"/>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1</w:t>
      </w:r>
      <w:r>
        <w:rPr>
          <w:rFonts w:hint="eastAsia" w:ascii="仿宋" w:hAnsi="仿宋" w:eastAsia="仿宋" w:cs="仿宋"/>
          <w:color w:val="auto"/>
          <w:sz w:val="28"/>
          <w:szCs w:val="28"/>
          <w:highlight w:val="none"/>
          <w:lang w:val="en-US" w:eastAsia="zh-CN"/>
        </w:rPr>
        <w:t>.</w:t>
      </w:r>
      <w:r>
        <w:rPr>
          <w:rFonts w:hint="eastAsia" w:ascii="仿宋" w:hAnsi="仿宋" w:eastAsia="仿宋" w:cs="仿宋"/>
          <w:color w:val="auto"/>
          <w:sz w:val="28"/>
          <w:szCs w:val="28"/>
          <w:highlight w:val="none"/>
        </w:rPr>
        <w:t>组织与实施。</w:t>
      </w:r>
      <w:r>
        <w:rPr>
          <w:rFonts w:hint="eastAsia" w:ascii="仿宋" w:hAnsi="仿宋" w:eastAsia="仿宋" w:cs="仿宋"/>
          <w:color w:val="auto"/>
          <w:sz w:val="28"/>
          <w:szCs w:val="28"/>
          <w:highlight w:val="none"/>
          <w:lang w:val="en-US" w:eastAsia="zh-CN"/>
        </w:rPr>
        <w:t>根据湛江市财政局《湛江财政局关于开展2023年市级财政资金绩效自评工作的通知》（湛财绩〔2023〕2号）的文件要求</w:t>
      </w:r>
      <w:r>
        <w:rPr>
          <w:rFonts w:hint="eastAsia" w:ascii="仿宋" w:hAnsi="仿宋" w:eastAsia="仿宋" w:cs="仿宋"/>
          <w:color w:val="auto"/>
          <w:sz w:val="28"/>
          <w:szCs w:val="28"/>
          <w:highlight w:val="none"/>
        </w:rPr>
        <w:t>，明确了</w:t>
      </w:r>
      <w:r>
        <w:rPr>
          <w:rFonts w:hint="eastAsia" w:ascii="仿宋" w:hAnsi="仿宋" w:eastAsia="仿宋" w:cs="仿宋"/>
          <w:color w:val="auto"/>
          <w:sz w:val="28"/>
          <w:szCs w:val="28"/>
          <w:highlight w:val="none"/>
          <w:lang w:eastAsia="zh-CN"/>
        </w:rPr>
        <w:t>本次</w:t>
      </w:r>
      <w:r>
        <w:rPr>
          <w:rFonts w:hint="eastAsia" w:ascii="仿宋" w:hAnsi="仿宋" w:eastAsia="仿宋" w:cs="仿宋"/>
          <w:color w:val="auto"/>
          <w:sz w:val="28"/>
          <w:szCs w:val="28"/>
          <w:highlight w:val="none"/>
        </w:rPr>
        <w:t>评价工作的目的、范围、内容和组织实施工作。20</w:t>
      </w:r>
      <w:r>
        <w:rPr>
          <w:rFonts w:hint="eastAsia" w:ascii="仿宋" w:hAnsi="仿宋" w:eastAsia="仿宋" w:cs="仿宋"/>
          <w:color w:val="auto"/>
          <w:sz w:val="28"/>
          <w:szCs w:val="28"/>
          <w:highlight w:val="none"/>
          <w:lang w:val="en-US" w:eastAsia="zh-CN"/>
        </w:rPr>
        <w:t>23</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9</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eastAsia="zh-CN"/>
        </w:rPr>
        <w:t>受</w:t>
      </w:r>
      <w:r>
        <w:rPr>
          <w:rFonts w:hint="eastAsia" w:ascii="仿宋" w:hAnsi="仿宋" w:eastAsia="仿宋" w:cs="仿宋"/>
          <w:color w:val="auto"/>
          <w:sz w:val="28"/>
          <w:szCs w:val="28"/>
          <w:highlight w:val="none"/>
          <w:lang w:val="en-US" w:eastAsia="zh-CN"/>
        </w:rPr>
        <w:t>湛江市财政局</w:t>
      </w:r>
      <w:r>
        <w:rPr>
          <w:rFonts w:hint="eastAsia" w:ascii="仿宋" w:hAnsi="仿宋" w:eastAsia="仿宋" w:cs="仿宋"/>
          <w:color w:val="auto"/>
          <w:sz w:val="28"/>
          <w:szCs w:val="28"/>
          <w:highlight w:val="none"/>
        </w:rPr>
        <w:t>委托</w:t>
      </w:r>
      <w:r>
        <w:rPr>
          <w:rFonts w:hint="eastAsia" w:ascii="仿宋" w:hAnsi="仿宋" w:eastAsia="仿宋" w:cs="仿宋"/>
          <w:color w:val="auto"/>
          <w:sz w:val="28"/>
          <w:szCs w:val="28"/>
          <w:highlight w:val="none"/>
          <w:lang w:eastAsia="zh-CN"/>
        </w:rPr>
        <w:t>，本事务所高度重视，合理配备专业力量，组织</w:t>
      </w:r>
      <w:r>
        <w:rPr>
          <w:rFonts w:hint="eastAsia" w:ascii="仿宋" w:hAnsi="仿宋" w:eastAsia="仿宋" w:cs="仿宋"/>
          <w:color w:val="auto"/>
          <w:sz w:val="28"/>
          <w:szCs w:val="28"/>
          <w:highlight w:val="none"/>
        </w:rPr>
        <w:t>绩效评价工作</w:t>
      </w:r>
      <w:r>
        <w:rPr>
          <w:rFonts w:hint="eastAsia" w:ascii="仿宋" w:hAnsi="仿宋" w:eastAsia="仿宋" w:cs="仿宋"/>
          <w:color w:val="auto"/>
          <w:sz w:val="28"/>
          <w:szCs w:val="28"/>
          <w:highlight w:val="none"/>
          <w:lang w:eastAsia="zh-CN"/>
        </w:rPr>
        <w:t>专家小组，</w:t>
      </w:r>
      <w:r>
        <w:rPr>
          <w:rFonts w:hint="eastAsia" w:ascii="仿宋" w:hAnsi="仿宋" w:eastAsia="仿宋" w:cs="仿宋"/>
          <w:color w:val="auto"/>
          <w:sz w:val="28"/>
          <w:szCs w:val="28"/>
          <w:highlight w:val="none"/>
        </w:rPr>
        <w:t>制定评价工作实施方案，</w:t>
      </w:r>
      <w:r>
        <w:rPr>
          <w:rFonts w:hint="eastAsia" w:ascii="仿宋" w:hAnsi="仿宋" w:eastAsia="仿宋" w:cs="仿宋"/>
          <w:color w:val="auto"/>
          <w:sz w:val="28"/>
          <w:szCs w:val="28"/>
          <w:highlight w:val="none"/>
          <w:lang w:eastAsia="zh-CN"/>
        </w:rPr>
        <w:t>以认真负责的态度，保证本次绩效评价工作的有序展开。</w:t>
      </w:r>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rPr>
          <w:rFonts w:hint="eastAsia" w:ascii="仿宋" w:hAnsi="仿宋" w:eastAsia="仿宋" w:cs="仿宋"/>
          <w:color w:val="auto"/>
          <w:sz w:val="28"/>
          <w:szCs w:val="28"/>
          <w:highlight w:val="none"/>
        </w:rPr>
      </w:pPr>
      <w:bookmarkStart w:id="18" w:name="_Toc19029"/>
      <w:bookmarkStart w:id="19" w:name="_Toc22988"/>
      <w:r>
        <w:rPr>
          <w:rFonts w:hint="eastAsia" w:ascii="仿宋" w:hAnsi="仿宋" w:eastAsia="仿宋" w:cs="仿宋"/>
          <w:color w:val="auto"/>
          <w:sz w:val="28"/>
          <w:szCs w:val="28"/>
          <w:highlight w:val="none"/>
          <w:lang w:val="en-US" w:eastAsia="zh-CN"/>
        </w:rPr>
        <w:t>2.核实与勘验。绩效评价工作专家小组收集评价基础资料并整理分析，作为核查参考，科学确定核查方案，形成评价意见。</w:t>
      </w:r>
      <w:r>
        <w:rPr>
          <w:rFonts w:hint="eastAsia" w:ascii="仿宋" w:hAnsi="仿宋" w:eastAsia="仿宋" w:cs="仿宋"/>
          <w:color w:val="auto"/>
          <w:sz w:val="28"/>
          <w:szCs w:val="28"/>
          <w:highlight w:val="none"/>
          <w:lang w:val="en-US" w:eastAsia="zh-CN"/>
        </w:rPr>
        <w:br w:type="textWrapping"/>
      </w:r>
      <w:r>
        <w:rPr>
          <w:rFonts w:hint="eastAsia" w:ascii="仿宋" w:hAnsi="仿宋" w:eastAsia="仿宋" w:cs="仿宋"/>
          <w:color w:val="auto"/>
          <w:sz w:val="28"/>
          <w:szCs w:val="28"/>
          <w:highlight w:val="none"/>
          <w:lang w:val="en-US" w:eastAsia="zh-CN"/>
        </w:rPr>
        <w:t xml:space="preserve">    </w:t>
      </w:r>
      <w:r>
        <w:rPr>
          <w:rFonts w:hint="default" w:ascii="仿宋" w:hAnsi="仿宋" w:eastAsia="仿宋" w:cs="仿宋"/>
          <w:color w:val="auto"/>
          <w:sz w:val="28"/>
          <w:szCs w:val="28"/>
          <w:highlight w:val="none"/>
          <w:lang w:val="en-US" w:eastAsia="zh-CN"/>
        </w:rPr>
        <w:t>3.形成评价报告。依据评价结论，并参考对评价单位递交自评材料的审核结果，加强意见沟通，对财政资金支出情况进行全面分析与综合评价，形成本次绩效评价核查报告。</w:t>
      </w:r>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outlineLvl w:val="1"/>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（三）</w:t>
      </w:r>
      <w:r>
        <w:rPr>
          <w:rFonts w:hint="eastAsia" w:ascii="仿宋" w:hAnsi="仿宋" w:eastAsia="仿宋" w:cs="仿宋"/>
          <w:color w:val="auto"/>
          <w:sz w:val="28"/>
          <w:szCs w:val="28"/>
          <w:highlight w:val="none"/>
          <w:lang w:eastAsia="zh-CN"/>
        </w:rPr>
        <w:t>评价</w:t>
      </w:r>
      <w:r>
        <w:rPr>
          <w:rFonts w:hint="eastAsia" w:ascii="仿宋" w:hAnsi="仿宋" w:eastAsia="仿宋" w:cs="仿宋"/>
          <w:color w:val="auto"/>
          <w:sz w:val="28"/>
          <w:szCs w:val="28"/>
          <w:highlight w:val="none"/>
        </w:rPr>
        <w:t>原则和方法</w:t>
      </w:r>
      <w:bookmarkEnd w:id="18"/>
      <w:bookmarkEnd w:id="19"/>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本次评价基于项目的“经济性、效率性和有效性”，主要考虑</w:t>
      </w:r>
      <w:r>
        <w:rPr>
          <w:rFonts w:hint="eastAsia" w:ascii="仿宋" w:hAnsi="仿宋" w:eastAsia="仿宋" w:cs="仿宋"/>
          <w:color w:val="auto"/>
          <w:sz w:val="28"/>
          <w:szCs w:val="28"/>
          <w:highlight w:val="none"/>
          <w:lang w:eastAsia="zh-CN"/>
        </w:rPr>
        <w:t>的原则，</w:t>
      </w:r>
      <w:r>
        <w:rPr>
          <w:rFonts w:hint="eastAsia" w:ascii="仿宋" w:hAnsi="仿宋" w:eastAsia="仿宋" w:cs="仿宋"/>
          <w:color w:val="auto"/>
          <w:sz w:val="28"/>
          <w:szCs w:val="28"/>
          <w:highlight w:val="none"/>
        </w:rPr>
        <w:t>一是定性与定量分析相结合；二是实施过程与结果评价相结合；三是真实性与规范性</w:t>
      </w:r>
      <w:r>
        <w:rPr>
          <w:rFonts w:hint="eastAsia" w:ascii="仿宋" w:hAnsi="仿宋" w:eastAsia="仿宋" w:cs="仿宋"/>
          <w:color w:val="auto"/>
          <w:sz w:val="28"/>
          <w:szCs w:val="28"/>
          <w:highlight w:val="none"/>
          <w:lang w:eastAsia="zh-CN"/>
        </w:rPr>
        <w:t>相</w:t>
      </w:r>
      <w:r>
        <w:rPr>
          <w:rFonts w:hint="eastAsia" w:ascii="仿宋" w:hAnsi="仿宋" w:eastAsia="仿宋" w:cs="仿宋"/>
          <w:color w:val="auto"/>
          <w:sz w:val="28"/>
          <w:szCs w:val="28"/>
          <w:highlight w:val="none"/>
        </w:rPr>
        <w:t>结合</w:t>
      </w:r>
      <w:r>
        <w:rPr>
          <w:rFonts w:hint="eastAsia" w:ascii="仿宋" w:hAnsi="仿宋" w:eastAsia="仿宋" w:cs="仿宋"/>
          <w:color w:val="auto"/>
          <w:sz w:val="28"/>
          <w:szCs w:val="28"/>
          <w:highlight w:val="none"/>
          <w:lang w:eastAsia="zh-CN"/>
        </w:rPr>
        <w:t>等原则</w:t>
      </w:r>
      <w:r>
        <w:rPr>
          <w:rFonts w:hint="eastAsia" w:ascii="仿宋" w:hAnsi="仿宋" w:eastAsia="仿宋" w:cs="仿宋"/>
          <w:color w:val="auto"/>
          <w:sz w:val="28"/>
          <w:szCs w:val="28"/>
          <w:highlight w:val="none"/>
        </w:rPr>
        <w:t>。</w:t>
      </w:r>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根据</w:t>
      </w:r>
      <w:r>
        <w:rPr>
          <w:rFonts w:hint="eastAsia" w:ascii="仿宋" w:hAnsi="仿宋" w:eastAsia="仿宋" w:cs="仿宋"/>
          <w:color w:val="auto"/>
          <w:sz w:val="28"/>
          <w:szCs w:val="28"/>
          <w:highlight w:val="none"/>
          <w:lang w:val="en-US" w:eastAsia="zh-CN"/>
        </w:rPr>
        <w:t>湛江市财政局《湛江财政局关于开展2023年市级财政资金绩效自评工作的通知》（湛财绩〔2023〕2号）的文件要求</w:t>
      </w:r>
      <w:r>
        <w:rPr>
          <w:rFonts w:hint="eastAsia" w:ascii="仿宋" w:hAnsi="仿宋" w:eastAsia="仿宋" w:cs="仿宋"/>
          <w:color w:val="auto"/>
          <w:sz w:val="28"/>
          <w:szCs w:val="28"/>
          <w:highlight w:val="none"/>
        </w:rPr>
        <w:t>，结合本</w:t>
      </w:r>
      <w:r>
        <w:rPr>
          <w:rFonts w:hint="eastAsia" w:ascii="仿宋" w:hAnsi="仿宋" w:eastAsia="仿宋" w:cs="仿宋"/>
          <w:color w:val="auto"/>
          <w:sz w:val="28"/>
          <w:szCs w:val="28"/>
          <w:highlight w:val="none"/>
          <w:lang w:eastAsia="zh-CN"/>
        </w:rPr>
        <w:t>评价项目</w:t>
      </w:r>
      <w:r>
        <w:rPr>
          <w:rFonts w:hint="eastAsia" w:ascii="仿宋" w:hAnsi="仿宋" w:eastAsia="仿宋" w:cs="仿宋"/>
          <w:color w:val="auto"/>
          <w:sz w:val="28"/>
          <w:szCs w:val="28"/>
          <w:highlight w:val="none"/>
        </w:rPr>
        <w:t>资金支出的相关内容，突出预算支出绩效评价的特点</w:t>
      </w:r>
      <w:r>
        <w:rPr>
          <w:rFonts w:hint="eastAsia" w:ascii="仿宋" w:hAnsi="仿宋" w:eastAsia="仿宋" w:cs="仿宋"/>
          <w:color w:val="auto"/>
          <w:sz w:val="28"/>
          <w:szCs w:val="28"/>
          <w:highlight w:val="none"/>
          <w:lang w:eastAsia="zh-CN"/>
        </w:rPr>
        <w:t>，以资金支出的经济、社会效益和公众满意度作为衡量主管部门资金管理绩效的重要依据，</w:t>
      </w:r>
      <w:r>
        <w:rPr>
          <w:rFonts w:hint="eastAsia" w:ascii="仿宋" w:hAnsi="仿宋" w:eastAsia="仿宋" w:cs="仿宋"/>
          <w:color w:val="auto"/>
          <w:sz w:val="28"/>
          <w:szCs w:val="28"/>
          <w:highlight w:val="none"/>
        </w:rPr>
        <w:t>采取了目标预定与实施效果</w:t>
      </w:r>
      <w:r>
        <w:rPr>
          <w:rFonts w:hint="eastAsia" w:ascii="仿宋" w:hAnsi="仿宋" w:eastAsia="仿宋" w:cs="仿宋"/>
          <w:color w:val="auto"/>
          <w:sz w:val="28"/>
          <w:szCs w:val="28"/>
          <w:highlight w:val="none"/>
          <w:lang w:eastAsia="zh-CN"/>
        </w:rPr>
        <w:t>相</w:t>
      </w:r>
      <w:r>
        <w:rPr>
          <w:rFonts w:hint="eastAsia" w:ascii="仿宋" w:hAnsi="仿宋" w:eastAsia="仿宋" w:cs="仿宋"/>
          <w:color w:val="auto"/>
          <w:sz w:val="28"/>
          <w:szCs w:val="28"/>
          <w:highlight w:val="none"/>
        </w:rPr>
        <w:t>比较的评价方法</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评价包括了定量指标分析和定性指标分析。</w:t>
      </w:r>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项目评价基准日为</w:t>
      </w:r>
      <w:r>
        <w:rPr>
          <w:rFonts w:hint="eastAsia" w:ascii="仿宋" w:hAnsi="仿宋" w:eastAsia="仿宋" w:cs="仿宋"/>
          <w:color w:val="auto"/>
          <w:sz w:val="28"/>
          <w:szCs w:val="28"/>
          <w:highlight w:val="none"/>
          <w:lang w:val="en-US" w:eastAsia="zh-CN"/>
        </w:rPr>
        <w:t>2022年12</w:t>
      </w:r>
      <w:r>
        <w:rPr>
          <w:rFonts w:hint="eastAsia" w:ascii="仿宋" w:hAnsi="仿宋" w:eastAsia="仿宋" w:cs="仿宋"/>
          <w:color w:val="auto"/>
          <w:sz w:val="28"/>
          <w:szCs w:val="28"/>
          <w:highlight w:val="none"/>
        </w:rPr>
        <w:t>月31日。</w:t>
      </w:r>
      <w:bookmarkStart w:id="20" w:name="bookmark68"/>
      <w:bookmarkEnd w:id="20"/>
    </w:p>
    <w:p>
      <w:pPr>
        <w:keepNext w:val="0"/>
        <w:keepLines w:val="0"/>
        <w:pageBreakBefore w:val="0"/>
        <w:kinsoku/>
        <w:wordWrap/>
        <w:overflowPunct/>
        <w:topLinePunct w:val="0"/>
        <w:autoSpaceDE/>
        <w:autoSpaceDN/>
        <w:bidi w:val="0"/>
        <w:adjustRightInd/>
        <w:snapToGrid w:val="0"/>
        <w:spacing w:line="560" w:lineRule="exact"/>
        <w:ind w:firstLine="562" w:firstLineChars="200"/>
        <w:jc w:val="both"/>
        <w:textAlignment w:val="auto"/>
        <w:outlineLvl w:val="0"/>
        <w:rPr>
          <w:rFonts w:hint="eastAsia" w:ascii="仿宋" w:hAnsi="仿宋" w:eastAsia="仿宋" w:cs="仿宋"/>
          <w:b/>
          <w:bCs/>
          <w:color w:val="auto"/>
          <w:sz w:val="28"/>
          <w:szCs w:val="28"/>
          <w:highlight w:val="none"/>
          <w:lang w:val="en-US" w:eastAsia="zh-CN"/>
        </w:rPr>
      </w:pPr>
      <w:bookmarkStart w:id="21" w:name="_Toc1218"/>
      <w:r>
        <w:rPr>
          <w:rFonts w:hint="eastAsia" w:ascii="仿宋" w:hAnsi="仿宋" w:eastAsia="仿宋" w:cs="仿宋"/>
          <w:b/>
          <w:bCs/>
          <w:color w:val="auto"/>
          <w:sz w:val="28"/>
          <w:szCs w:val="28"/>
          <w:highlight w:val="none"/>
          <w:lang w:eastAsia="zh-CN"/>
        </w:rPr>
        <w:t>三、核查结论</w:t>
      </w:r>
      <w:bookmarkEnd w:id="21"/>
    </w:p>
    <w:p>
      <w:pPr>
        <w:keepNext w:val="0"/>
        <w:keepLines w:val="0"/>
        <w:pageBreakBefore w:val="0"/>
        <w:kinsoku/>
        <w:wordWrap/>
        <w:overflowPunct/>
        <w:topLinePunct w:val="0"/>
        <w:autoSpaceDE/>
        <w:autoSpaceDN/>
        <w:bidi w:val="0"/>
        <w:adjustRightInd/>
        <w:snapToGrid w:val="0"/>
        <w:spacing w:line="560" w:lineRule="exact"/>
        <w:ind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eastAsia="zh-CN"/>
        </w:rPr>
        <w:t>绩效评价结果设置为5个等级，分别为：优（90≤X≤100分）、良（80≤X＜90分）、中（70≤X＜80分）、低（60≤X＜70分）、差（0≤X＜60分）。</w:t>
      </w:r>
      <w:r>
        <w:rPr>
          <w:rFonts w:hint="eastAsia" w:ascii="仿宋" w:hAnsi="仿宋" w:eastAsia="仿宋" w:cs="仿宋"/>
          <w:color w:val="auto"/>
          <w:sz w:val="28"/>
          <w:szCs w:val="28"/>
          <w:highlight w:val="none"/>
          <w:lang w:val="en-US" w:eastAsia="zh-CN"/>
        </w:rPr>
        <w:t>详见</w:t>
      </w:r>
      <w:r>
        <w:rPr>
          <w:rFonts w:hint="eastAsia" w:ascii="仿宋" w:hAnsi="仿宋" w:eastAsia="仿宋" w:cs="仿宋"/>
          <w:color w:val="auto"/>
          <w:sz w:val="28"/>
          <w:szCs w:val="28"/>
          <w:highlight w:val="none"/>
          <w:lang w:eastAsia="zh-CN"/>
        </w:rPr>
        <w:t>表1：</w:t>
      </w:r>
    </w:p>
    <w:p>
      <w:pPr>
        <w:keepNext w:val="0"/>
        <w:keepLines w:val="0"/>
        <w:pageBreakBefore w:val="0"/>
        <w:kinsoku/>
        <w:wordWrap/>
        <w:overflowPunct/>
        <w:topLinePunct w:val="0"/>
        <w:autoSpaceDE/>
        <w:autoSpaceDN/>
        <w:bidi w:val="0"/>
        <w:adjustRightInd/>
        <w:snapToGrid w:val="0"/>
        <w:spacing w:line="560" w:lineRule="exact"/>
        <w:ind w:firstLine="562" w:firstLineChars="200"/>
        <w:jc w:val="center"/>
        <w:textAlignment w:val="auto"/>
        <w:rPr>
          <w:rFonts w:hint="eastAsia" w:ascii="仿宋" w:hAnsi="仿宋" w:eastAsia="仿宋" w:cs="仿宋"/>
          <w:b/>
          <w:bCs/>
          <w:color w:val="auto"/>
          <w:sz w:val="28"/>
          <w:szCs w:val="28"/>
          <w:highlight w:val="none"/>
          <w:lang w:val="zh-TW" w:eastAsia="zh-TW"/>
        </w:rPr>
      </w:pPr>
      <w:r>
        <w:rPr>
          <w:rFonts w:hint="eastAsia" w:ascii="仿宋" w:hAnsi="仿宋" w:eastAsia="仿宋" w:cs="仿宋"/>
          <w:b/>
          <w:bCs/>
          <w:color w:val="auto"/>
          <w:sz w:val="28"/>
          <w:szCs w:val="28"/>
          <w:highlight w:val="none"/>
          <w:lang w:val="zh-TW" w:eastAsia="zh-TW"/>
        </w:rPr>
        <w:t>表1 绩效评价结果等级划分标准</w:t>
      </w:r>
    </w:p>
    <w:tbl>
      <w:tblPr>
        <w:tblStyle w:val="8"/>
        <w:tblW w:w="4889" w:type="pct"/>
        <w:jc w:val="center"/>
        <w:tblLayout w:type="autofit"/>
        <w:tblCellMar>
          <w:top w:w="0" w:type="dxa"/>
          <w:left w:w="10" w:type="dxa"/>
          <w:bottom w:w="0" w:type="dxa"/>
          <w:right w:w="10" w:type="dxa"/>
        </w:tblCellMar>
      </w:tblPr>
      <w:tblGrid>
        <w:gridCol w:w="1074"/>
        <w:gridCol w:w="3859"/>
        <w:gridCol w:w="3402"/>
      </w:tblGrid>
      <w:tr>
        <w:trPr>
          <w:trHeight w:val="475" w:hRule="exact"/>
          <w:tblHeader/>
          <w:jc w:val="center"/>
        </w:trPr>
        <w:tc>
          <w:tcPr>
            <w:tcW w:w="644" w:type="pct"/>
            <w:tcBorders>
              <w:top w:val="single" w:color="auto" w:sz="4" w:space="0"/>
              <w:left w:val="single" w:color="auto" w:sz="4" w:space="0"/>
            </w:tcBorders>
            <w:shd w:val="clear" w:color="auto" w:fill="FFFFFF"/>
            <w:noWrap w:val="0"/>
            <w:vAlign w:val="top"/>
          </w:tcPr>
          <w:p>
            <w:pPr>
              <w:pStyle w:val="13"/>
              <w:keepNext w:val="0"/>
              <w:keepLines w:val="0"/>
              <w:pageBreakBefore w:val="0"/>
              <w:widowControl w:val="0"/>
              <w:shd w:val="clear" w:color="auto" w:fill="auto"/>
              <w:kinsoku/>
              <w:wordWrap/>
              <w:overflowPunct/>
              <w:topLinePunct w:val="0"/>
              <w:autoSpaceDE/>
              <w:autoSpaceDN/>
              <w:bidi w:val="0"/>
              <w:adjustRightInd/>
              <w:spacing w:before="0" w:after="0" w:line="360" w:lineRule="auto"/>
              <w:ind w:left="0" w:right="0" w:firstLine="0"/>
              <w:jc w:val="center"/>
              <w:outlineLvl w:val="9"/>
              <w:rPr>
                <w:rFonts w:hint="eastAsia" w:ascii="仿宋" w:hAnsi="仿宋" w:eastAsia="仿宋" w:cs="仿宋"/>
                <w:b/>
                <w:bCs/>
                <w:color w:val="000000"/>
                <w:spacing w:val="0"/>
                <w:w w:val="100"/>
                <w:position w:val="0"/>
                <w:sz w:val="24"/>
                <w:szCs w:val="24"/>
                <w:highlight w:val="none"/>
                <w:lang w:val="en-US" w:eastAsia="zh-CN"/>
              </w:rPr>
            </w:pPr>
            <w:r>
              <w:rPr>
                <w:rFonts w:hint="eastAsia" w:ascii="仿宋" w:hAnsi="仿宋" w:eastAsia="仿宋" w:cs="仿宋"/>
                <w:b/>
                <w:bCs/>
                <w:color w:val="000000"/>
                <w:spacing w:val="0"/>
                <w:w w:val="100"/>
                <w:position w:val="0"/>
                <w:sz w:val="24"/>
                <w:szCs w:val="24"/>
                <w:highlight w:val="none"/>
                <w:lang w:val="en-US" w:eastAsia="zh-CN"/>
              </w:rPr>
              <w:t>序号</w:t>
            </w:r>
          </w:p>
        </w:tc>
        <w:tc>
          <w:tcPr>
            <w:tcW w:w="2315" w:type="pct"/>
            <w:tcBorders>
              <w:top w:val="single" w:color="auto" w:sz="4" w:space="0"/>
              <w:left w:val="single" w:color="auto" w:sz="4" w:space="0"/>
            </w:tcBorders>
            <w:shd w:val="clear" w:color="auto" w:fill="FFFFFF"/>
            <w:noWrap w:val="0"/>
            <w:vAlign w:val="top"/>
          </w:tcPr>
          <w:p>
            <w:pPr>
              <w:pStyle w:val="13"/>
              <w:keepNext w:val="0"/>
              <w:keepLines w:val="0"/>
              <w:pageBreakBefore w:val="0"/>
              <w:widowControl w:val="0"/>
              <w:shd w:val="clear" w:color="auto" w:fill="auto"/>
              <w:kinsoku/>
              <w:wordWrap/>
              <w:overflowPunct/>
              <w:topLinePunct w:val="0"/>
              <w:autoSpaceDE/>
              <w:autoSpaceDN/>
              <w:bidi w:val="0"/>
              <w:adjustRightInd/>
              <w:spacing w:before="0" w:after="0" w:line="360" w:lineRule="auto"/>
              <w:ind w:left="0" w:right="0" w:firstLine="0"/>
              <w:jc w:val="center"/>
              <w:outlineLvl w:val="9"/>
              <w:rPr>
                <w:rFonts w:hint="eastAsia" w:ascii="仿宋" w:hAnsi="仿宋" w:eastAsia="仿宋" w:cs="仿宋"/>
                <w:b/>
                <w:bCs/>
                <w:color w:val="000000"/>
                <w:spacing w:val="0"/>
                <w:w w:val="100"/>
                <w:position w:val="0"/>
                <w:sz w:val="24"/>
                <w:szCs w:val="24"/>
                <w:highlight w:val="none"/>
                <w:lang w:val="en-US" w:eastAsia="zh-CN"/>
              </w:rPr>
            </w:pPr>
            <w:r>
              <w:rPr>
                <w:rFonts w:hint="eastAsia" w:ascii="仿宋" w:hAnsi="仿宋" w:eastAsia="仿宋" w:cs="仿宋"/>
                <w:b/>
                <w:bCs/>
                <w:color w:val="000000"/>
                <w:spacing w:val="0"/>
                <w:w w:val="100"/>
                <w:position w:val="0"/>
                <w:sz w:val="24"/>
                <w:szCs w:val="24"/>
                <w:highlight w:val="none"/>
                <w:lang w:val="en-US" w:eastAsia="zh-CN"/>
              </w:rPr>
              <w:t>绩效评价分值</w:t>
            </w:r>
          </w:p>
        </w:tc>
        <w:tc>
          <w:tcPr>
            <w:tcW w:w="2041" w:type="pct"/>
            <w:tcBorders>
              <w:top w:val="single" w:color="auto" w:sz="4" w:space="0"/>
              <w:left w:val="single" w:color="auto" w:sz="4" w:space="0"/>
              <w:right w:val="single" w:color="auto" w:sz="4" w:space="0"/>
            </w:tcBorders>
            <w:shd w:val="clear" w:color="auto" w:fill="FFFFFF"/>
            <w:noWrap w:val="0"/>
            <w:vAlign w:val="top"/>
          </w:tcPr>
          <w:p>
            <w:pPr>
              <w:pStyle w:val="13"/>
              <w:keepNext w:val="0"/>
              <w:keepLines w:val="0"/>
              <w:pageBreakBefore w:val="0"/>
              <w:widowControl w:val="0"/>
              <w:shd w:val="clear" w:color="auto" w:fill="auto"/>
              <w:kinsoku/>
              <w:wordWrap/>
              <w:overflowPunct/>
              <w:topLinePunct w:val="0"/>
              <w:autoSpaceDE/>
              <w:autoSpaceDN/>
              <w:bidi w:val="0"/>
              <w:adjustRightInd/>
              <w:spacing w:before="0" w:after="0" w:line="360" w:lineRule="auto"/>
              <w:ind w:left="0" w:right="0" w:firstLine="0"/>
              <w:jc w:val="center"/>
              <w:outlineLvl w:val="9"/>
              <w:rPr>
                <w:rFonts w:hint="eastAsia" w:ascii="仿宋" w:hAnsi="仿宋" w:eastAsia="仿宋" w:cs="仿宋"/>
                <w:b/>
                <w:bCs/>
                <w:color w:val="000000"/>
                <w:spacing w:val="0"/>
                <w:w w:val="100"/>
                <w:position w:val="0"/>
                <w:sz w:val="24"/>
                <w:szCs w:val="24"/>
                <w:highlight w:val="none"/>
                <w:lang w:val="en-US" w:eastAsia="zh-CN"/>
              </w:rPr>
            </w:pPr>
            <w:r>
              <w:rPr>
                <w:rFonts w:hint="eastAsia" w:ascii="仿宋" w:hAnsi="仿宋" w:eastAsia="仿宋" w:cs="仿宋"/>
                <w:b/>
                <w:bCs/>
                <w:color w:val="000000"/>
                <w:spacing w:val="0"/>
                <w:w w:val="100"/>
                <w:position w:val="0"/>
                <w:sz w:val="24"/>
                <w:szCs w:val="24"/>
                <w:highlight w:val="none"/>
                <w:lang w:val="en-US" w:eastAsia="zh-CN"/>
              </w:rPr>
              <w:t>绩效评价结果等级</w:t>
            </w:r>
          </w:p>
        </w:tc>
      </w:tr>
      <w:tr>
        <w:trPr>
          <w:trHeight w:val="461" w:hRule="exact"/>
          <w:jc w:val="center"/>
        </w:trPr>
        <w:tc>
          <w:tcPr>
            <w:tcW w:w="644" w:type="pct"/>
            <w:tcBorders>
              <w:top w:val="single" w:color="auto" w:sz="4" w:space="0"/>
              <w:left w:val="single" w:color="auto" w:sz="4" w:space="0"/>
            </w:tcBorders>
            <w:shd w:val="clear" w:color="auto" w:fill="FFFFFF"/>
            <w:noWrap w:val="0"/>
            <w:vAlign w:val="top"/>
          </w:tcPr>
          <w:p>
            <w:pPr>
              <w:pStyle w:val="13"/>
              <w:keepNext w:val="0"/>
              <w:keepLines w:val="0"/>
              <w:pageBreakBefore w:val="0"/>
              <w:widowControl w:val="0"/>
              <w:shd w:val="clear" w:color="auto" w:fill="auto"/>
              <w:kinsoku/>
              <w:wordWrap/>
              <w:overflowPunct/>
              <w:topLinePunct w:val="0"/>
              <w:autoSpaceDE/>
              <w:autoSpaceDN/>
              <w:bidi w:val="0"/>
              <w:adjustRightInd/>
              <w:spacing w:before="0" w:after="0" w:line="360" w:lineRule="auto"/>
              <w:ind w:left="0" w:right="0" w:firstLine="0"/>
              <w:jc w:val="center"/>
              <w:outlineLvl w:val="9"/>
              <w:rPr>
                <w:rFonts w:hint="eastAsia" w:ascii="仿宋" w:hAnsi="仿宋" w:eastAsia="仿宋" w:cs="仿宋"/>
                <w:color w:val="000000"/>
                <w:spacing w:val="0"/>
                <w:w w:val="100"/>
                <w:position w:val="0"/>
                <w:sz w:val="24"/>
                <w:szCs w:val="24"/>
                <w:highlight w:val="none"/>
                <w:lang w:val="en-US" w:eastAsia="zh-CN"/>
              </w:rPr>
            </w:pPr>
            <w:r>
              <w:rPr>
                <w:rFonts w:hint="eastAsia" w:ascii="仿宋" w:hAnsi="仿宋" w:eastAsia="仿宋" w:cs="仿宋"/>
                <w:color w:val="000000"/>
                <w:spacing w:val="0"/>
                <w:w w:val="100"/>
                <w:position w:val="0"/>
                <w:sz w:val="24"/>
                <w:szCs w:val="24"/>
                <w:highlight w:val="none"/>
                <w:lang w:val="en-US" w:eastAsia="zh-CN"/>
              </w:rPr>
              <w:t>1</w:t>
            </w:r>
          </w:p>
        </w:tc>
        <w:tc>
          <w:tcPr>
            <w:tcW w:w="2315" w:type="pct"/>
            <w:tcBorders>
              <w:top w:val="single" w:color="auto" w:sz="4" w:space="0"/>
              <w:left w:val="single" w:color="auto" w:sz="4" w:space="0"/>
            </w:tcBorders>
            <w:shd w:val="clear" w:color="auto" w:fill="FFFFFF"/>
            <w:noWrap w:val="0"/>
            <w:vAlign w:val="top"/>
          </w:tcPr>
          <w:p>
            <w:pPr>
              <w:pStyle w:val="13"/>
              <w:keepNext w:val="0"/>
              <w:keepLines w:val="0"/>
              <w:pageBreakBefore w:val="0"/>
              <w:widowControl w:val="0"/>
              <w:shd w:val="clear" w:color="auto" w:fill="auto"/>
              <w:kinsoku/>
              <w:wordWrap/>
              <w:overflowPunct/>
              <w:topLinePunct w:val="0"/>
              <w:autoSpaceDE/>
              <w:autoSpaceDN/>
              <w:bidi w:val="0"/>
              <w:adjustRightInd/>
              <w:spacing w:before="0" w:after="0" w:line="360" w:lineRule="auto"/>
              <w:ind w:left="0" w:right="0" w:firstLine="0"/>
              <w:jc w:val="center"/>
              <w:outlineLvl w:val="9"/>
              <w:rPr>
                <w:rFonts w:hint="eastAsia" w:ascii="仿宋" w:hAnsi="仿宋" w:eastAsia="仿宋" w:cs="仿宋"/>
                <w:color w:val="000000"/>
                <w:spacing w:val="0"/>
                <w:w w:val="100"/>
                <w:position w:val="0"/>
                <w:sz w:val="24"/>
                <w:szCs w:val="24"/>
                <w:highlight w:val="none"/>
                <w:lang w:val="en-US" w:eastAsia="zh-CN"/>
              </w:rPr>
            </w:pPr>
            <w:r>
              <w:rPr>
                <w:rFonts w:hint="eastAsia" w:ascii="仿宋" w:hAnsi="仿宋" w:eastAsia="仿宋" w:cs="仿宋"/>
                <w:color w:val="000000"/>
                <w:spacing w:val="0"/>
                <w:w w:val="100"/>
                <w:position w:val="0"/>
                <w:sz w:val="24"/>
                <w:szCs w:val="24"/>
                <w:highlight w:val="none"/>
                <w:lang w:val="en-US" w:eastAsia="zh-CN"/>
              </w:rPr>
              <w:t>90≤X≤100分</w:t>
            </w:r>
          </w:p>
        </w:tc>
        <w:tc>
          <w:tcPr>
            <w:tcW w:w="2041" w:type="pct"/>
            <w:tcBorders>
              <w:top w:val="single" w:color="auto" w:sz="4" w:space="0"/>
              <w:left w:val="single" w:color="auto" w:sz="4" w:space="0"/>
              <w:right w:val="single" w:color="auto" w:sz="4" w:space="0"/>
            </w:tcBorders>
            <w:shd w:val="clear" w:color="auto" w:fill="FFFFFF"/>
            <w:noWrap w:val="0"/>
            <w:vAlign w:val="top"/>
          </w:tcPr>
          <w:p>
            <w:pPr>
              <w:pStyle w:val="13"/>
              <w:keepNext w:val="0"/>
              <w:keepLines w:val="0"/>
              <w:pageBreakBefore w:val="0"/>
              <w:widowControl w:val="0"/>
              <w:shd w:val="clear" w:color="auto" w:fill="auto"/>
              <w:kinsoku/>
              <w:wordWrap/>
              <w:overflowPunct/>
              <w:topLinePunct w:val="0"/>
              <w:autoSpaceDE/>
              <w:autoSpaceDN/>
              <w:bidi w:val="0"/>
              <w:adjustRightInd/>
              <w:spacing w:before="0" w:after="0" w:line="360" w:lineRule="auto"/>
              <w:ind w:left="0" w:right="0" w:firstLine="0"/>
              <w:jc w:val="center"/>
              <w:outlineLvl w:val="9"/>
              <w:rPr>
                <w:rFonts w:hint="eastAsia" w:ascii="仿宋" w:hAnsi="仿宋" w:eastAsia="仿宋" w:cs="仿宋"/>
                <w:color w:val="000000"/>
                <w:spacing w:val="0"/>
                <w:w w:val="100"/>
                <w:position w:val="0"/>
                <w:sz w:val="24"/>
                <w:szCs w:val="24"/>
                <w:highlight w:val="none"/>
                <w:lang w:val="en-US" w:eastAsia="zh-CN"/>
              </w:rPr>
            </w:pPr>
            <w:r>
              <w:rPr>
                <w:rFonts w:hint="eastAsia" w:ascii="仿宋" w:hAnsi="仿宋" w:eastAsia="仿宋" w:cs="仿宋"/>
                <w:color w:val="000000"/>
                <w:spacing w:val="0"/>
                <w:w w:val="100"/>
                <w:position w:val="0"/>
                <w:sz w:val="24"/>
                <w:szCs w:val="24"/>
                <w:highlight w:val="none"/>
                <w:lang w:val="en-US" w:eastAsia="zh-CN"/>
              </w:rPr>
              <w:t>优</w:t>
            </w:r>
          </w:p>
        </w:tc>
      </w:tr>
      <w:tr>
        <w:trPr>
          <w:trHeight w:val="461" w:hRule="exact"/>
          <w:jc w:val="center"/>
        </w:trPr>
        <w:tc>
          <w:tcPr>
            <w:tcW w:w="644" w:type="pct"/>
            <w:tcBorders>
              <w:top w:val="single" w:color="auto" w:sz="4" w:space="0"/>
              <w:left w:val="single" w:color="auto" w:sz="4" w:space="0"/>
            </w:tcBorders>
            <w:shd w:val="clear" w:color="auto" w:fill="FFFFFF"/>
            <w:noWrap w:val="0"/>
            <w:vAlign w:val="top"/>
          </w:tcPr>
          <w:p>
            <w:pPr>
              <w:pStyle w:val="13"/>
              <w:keepNext w:val="0"/>
              <w:keepLines w:val="0"/>
              <w:pageBreakBefore w:val="0"/>
              <w:widowControl w:val="0"/>
              <w:shd w:val="clear" w:color="auto" w:fill="auto"/>
              <w:kinsoku/>
              <w:wordWrap/>
              <w:overflowPunct/>
              <w:topLinePunct w:val="0"/>
              <w:autoSpaceDE/>
              <w:autoSpaceDN/>
              <w:bidi w:val="0"/>
              <w:adjustRightInd/>
              <w:spacing w:before="0" w:after="0" w:line="360" w:lineRule="auto"/>
              <w:ind w:left="0" w:right="0" w:firstLine="0"/>
              <w:jc w:val="center"/>
              <w:outlineLvl w:val="9"/>
              <w:rPr>
                <w:rFonts w:hint="eastAsia" w:ascii="仿宋" w:hAnsi="仿宋" w:eastAsia="仿宋" w:cs="仿宋"/>
                <w:color w:val="000000"/>
                <w:spacing w:val="0"/>
                <w:w w:val="100"/>
                <w:position w:val="0"/>
                <w:sz w:val="24"/>
                <w:szCs w:val="24"/>
                <w:highlight w:val="none"/>
                <w:lang w:val="en-US" w:eastAsia="zh-CN"/>
              </w:rPr>
            </w:pPr>
            <w:r>
              <w:rPr>
                <w:rFonts w:hint="eastAsia" w:ascii="仿宋" w:hAnsi="仿宋" w:eastAsia="仿宋" w:cs="仿宋"/>
                <w:color w:val="000000"/>
                <w:spacing w:val="0"/>
                <w:w w:val="100"/>
                <w:position w:val="0"/>
                <w:sz w:val="24"/>
                <w:szCs w:val="24"/>
                <w:highlight w:val="none"/>
                <w:lang w:val="en-US" w:eastAsia="zh-CN"/>
              </w:rPr>
              <w:t>2</w:t>
            </w:r>
          </w:p>
        </w:tc>
        <w:tc>
          <w:tcPr>
            <w:tcW w:w="2315" w:type="pct"/>
            <w:tcBorders>
              <w:top w:val="single" w:color="auto" w:sz="4" w:space="0"/>
              <w:left w:val="single" w:color="auto" w:sz="4" w:space="0"/>
            </w:tcBorders>
            <w:shd w:val="clear" w:color="auto" w:fill="FFFFFF"/>
            <w:noWrap w:val="0"/>
            <w:vAlign w:val="top"/>
          </w:tcPr>
          <w:p>
            <w:pPr>
              <w:pStyle w:val="13"/>
              <w:keepNext w:val="0"/>
              <w:keepLines w:val="0"/>
              <w:pageBreakBefore w:val="0"/>
              <w:widowControl w:val="0"/>
              <w:shd w:val="clear" w:color="auto" w:fill="auto"/>
              <w:kinsoku/>
              <w:wordWrap/>
              <w:overflowPunct/>
              <w:topLinePunct w:val="0"/>
              <w:autoSpaceDE/>
              <w:autoSpaceDN/>
              <w:bidi w:val="0"/>
              <w:adjustRightInd/>
              <w:spacing w:before="0" w:after="0" w:line="360" w:lineRule="auto"/>
              <w:ind w:left="0" w:right="0" w:firstLine="0"/>
              <w:jc w:val="center"/>
              <w:outlineLvl w:val="9"/>
              <w:rPr>
                <w:rFonts w:hint="eastAsia" w:ascii="仿宋" w:hAnsi="仿宋" w:eastAsia="仿宋" w:cs="仿宋"/>
                <w:color w:val="000000"/>
                <w:spacing w:val="0"/>
                <w:w w:val="100"/>
                <w:position w:val="0"/>
                <w:sz w:val="24"/>
                <w:szCs w:val="24"/>
                <w:highlight w:val="none"/>
                <w:lang w:val="en-US" w:eastAsia="zh-CN"/>
              </w:rPr>
            </w:pPr>
            <w:r>
              <w:rPr>
                <w:rFonts w:hint="eastAsia" w:ascii="仿宋" w:hAnsi="仿宋" w:eastAsia="仿宋" w:cs="仿宋"/>
                <w:color w:val="000000"/>
                <w:spacing w:val="0"/>
                <w:w w:val="100"/>
                <w:position w:val="0"/>
                <w:sz w:val="24"/>
                <w:szCs w:val="24"/>
                <w:highlight w:val="none"/>
                <w:lang w:val="en-US" w:eastAsia="zh-CN"/>
              </w:rPr>
              <w:t>80≤X＜90分</w:t>
            </w:r>
          </w:p>
        </w:tc>
        <w:tc>
          <w:tcPr>
            <w:tcW w:w="2041" w:type="pct"/>
            <w:tcBorders>
              <w:top w:val="single" w:color="auto" w:sz="4" w:space="0"/>
              <w:left w:val="single" w:color="auto" w:sz="4" w:space="0"/>
              <w:right w:val="single" w:color="auto" w:sz="4" w:space="0"/>
            </w:tcBorders>
            <w:shd w:val="clear" w:color="auto" w:fill="FFFFFF"/>
            <w:noWrap w:val="0"/>
            <w:vAlign w:val="top"/>
          </w:tcPr>
          <w:p>
            <w:pPr>
              <w:pStyle w:val="13"/>
              <w:keepNext w:val="0"/>
              <w:keepLines w:val="0"/>
              <w:pageBreakBefore w:val="0"/>
              <w:widowControl w:val="0"/>
              <w:shd w:val="clear" w:color="auto" w:fill="auto"/>
              <w:kinsoku/>
              <w:wordWrap/>
              <w:overflowPunct/>
              <w:topLinePunct w:val="0"/>
              <w:autoSpaceDE/>
              <w:autoSpaceDN/>
              <w:bidi w:val="0"/>
              <w:adjustRightInd/>
              <w:spacing w:before="0" w:after="0" w:line="360" w:lineRule="auto"/>
              <w:ind w:left="0" w:right="0" w:firstLine="0"/>
              <w:jc w:val="center"/>
              <w:outlineLvl w:val="9"/>
              <w:rPr>
                <w:rFonts w:hint="eastAsia" w:ascii="仿宋" w:hAnsi="仿宋" w:eastAsia="仿宋" w:cs="仿宋"/>
                <w:color w:val="000000"/>
                <w:spacing w:val="0"/>
                <w:w w:val="100"/>
                <w:position w:val="0"/>
                <w:sz w:val="24"/>
                <w:szCs w:val="24"/>
                <w:highlight w:val="none"/>
                <w:lang w:val="en-US" w:eastAsia="zh-CN"/>
              </w:rPr>
            </w:pPr>
            <w:r>
              <w:rPr>
                <w:rFonts w:hint="eastAsia" w:ascii="仿宋" w:hAnsi="仿宋" w:eastAsia="仿宋" w:cs="仿宋"/>
                <w:color w:val="000000"/>
                <w:spacing w:val="0"/>
                <w:w w:val="100"/>
                <w:position w:val="0"/>
                <w:sz w:val="24"/>
                <w:szCs w:val="24"/>
                <w:highlight w:val="none"/>
                <w:lang w:val="en-US" w:eastAsia="zh-CN"/>
              </w:rPr>
              <w:t>良</w:t>
            </w:r>
          </w:p>
        </w:tc>
      </w:tr>
      <w:tr>
        <w:trPr>
          <w:trHeight w:val="461" w:hRule="exact"/>
          <w:jc w:val="center"/>
        </w:trPr>
        <w:tc>
          <w:tcPr>
            <w:tcW w:w="644" w:type="pct"/>
            <w:tcBorders>
              <w:top w:val="single" w:color="auto" w:sz="4" w:space="0"/>
              <w:left w:val="single" w:color="auto" w:sz="4" w:space="0"/>
            </w:tcBorders>
            <w:shd w:val="clear" w:color="auto" w:fill="FFFFFF"/>
            <w:noWrap w:val="0"/>
            <w:vAlign w:val="top"/>
          </w:tcPr>
          <w:p>
            <w:pPr>
              <w:pStyle w:val="13"/>
              <w:keepNext w:val="0"/>
              <w:keepLines w:val="0"/>
              <w:pageBreakBefore w:val="0"/>
              <w:widowControl w:val="0"/>
              <w:shd w:val="clear" w:color="auto" w:fill="auto"/>
              <w:kinsoku/>
              <w:wordWrap/>
              <w:overflowPunct/>
              <w:topLinePunct w:val="0"/>
              <w:autoSpaceDE/>
              <w:autoSpaceDN/>
              <w:bidi w:val="0"/>
              <w:adjustRightInd/>
              <w:spacing w:before="0" w:after="0" w:line="360" w:lineRule="auto"/>
              <w:ind w:left="0" w:right="0" w:firstLine="0"/>
              <w:jc w:val="center"/>
              <w:outlineLvl w:val="9"/>
              <w:rPr>
                <w:rFonts w:hint="eastAsia" w:ascii="仿宋" w:hAnsi="仿宋" w:eastAsia="仿宋" w:cs="仿宋"/>
                <w:color w:val="000000"/>
                <w:spacing w:val="0"/>
                <w:w w:val="100"/>
                <w:position w:val="0"/>
                <w:sz w:val="24"/>
                <w:szCs w:val="24"/>
                <w:highlight w:val="none"/>
                <w:lang w:val="en-US" w:eastAsia="zh-CN"/>
              </w:rPr>
            </w:pPr>
            <w:r>
              <w:rPr>
                <w:rFonts w:hint="eastAsia" w:ascii="仿宋" w:hAnsi="仿宋" w:eastAsia="仿宋" w:cs="仿宋"/>
                <w:color w:val="000000"/>
                <w:spacing w:val="0"/>
                <w:w w:val="100"/>
                <w:position w:val="0"/>
                <w:sz w:val="24"/>
                <w:szCs w:val="24"/>
                <w:highlight w:val="none"/>
                <w:lang w:val="en-US" w:eastAsia="zh-CN"/>
              </w:rPr>
              <w:t>3</w:t>
            </w:r>
          </w:p>
        </w:tc>
        <w:tc>
          <w:tcPr>
            <w:tcW w:w="2315" w:type="pct"/>
            <w:tcBorders>
              <w:top w:val="single" w:color="auto" w:sz="4" w:space="0"/>
              <w:left w:val="single" w:color="auto" w:sz="4" w:space="0"/>
            </w:tcBorders>
            <w:shd w:val="clear" w:color="auto" w:fill="FFFFFF"/>
            <w:noWrap w:val="0"/>
            <w:vAlign w:val="top"/>
          </w:tcPr>
          <w:p>
            <w:pPr>
              <w:pStyle w:val="13"/>
              <w:keepNext w:val="0"/>
              <w:keepLines w:val="0"/>
              <w:pageBreakBefore w:val="0"/>
              <w:widowControl w:val="0"/>
              <w:shd w:val="clear" w:color="auto" w:fill="auto"/>
              <w:kinsoku/>
              <w:wordWrap/>
              <w:overflowPunct/>
              <w:topLinePunct w:val="0"/>
              <w:autoSpaceDE/>
              <w:autoSpaceDN/>
              <w:bidi w:val="0"/>
              <w:adjustRightInd/>
              <w:spacing w:before="0" w:after="0" w:line="360" w:lineRule="auto"/>
              <w:ind w:left="0" w:right="0" w:firstLine="0"/>
              <w:jc w:val="center"/>
              <w:outlineLvl w:val="9"/>
              <w:rPr>
                <w:rFonts w:hint="eastAsia" w:ascii="仿宋" w:hAnsi="仿宋" w:eastAsia="仿宋" w:cs="仿宋"/>
                <w:color w:val="000000"/>
                <w:spacing w:val="0"/>
                <w:w w:val="100"/>
                <w:position w:val="0"/>
                <w:sz w:val="24"/>
                <w:szCs w:val="24"/>
                <w:highlight w:val="none"/>
                <w:lang w:val="en-US" w:eastAsia="zh-CN"/>
              </w:rPr>
            </w:pPr>
            <w:r>
              <w:rPr>
                <w:rFonts w:hint="eastAsia" w:ascii="仿宋" w:hAnsi="仿宋" w:eastAsia="仿宋" w:cs="仿宋"/>
                <w:color w:val="000000"/>
                <w:spacing w:val="0"/>
                <w:w w:val="100"/>
                <w:position w:val="0"/>
                <w:sz w:val="24"/>
                <w:szCs w:val="24"/>
                <w:highlight w:val="none"/>
                <w:lang w:val="en-US" w:eastAsia="zh-CN"/>
              </w:rPr>
              <w:t>70≤X＜80分</w:t>
            </w:r>
          </w:p>
        </w:tc>
        <w:tc>
          <w:tcPr>
            <w:tcW w:w="2041" w:type="pct"/>
            <w:tcBorders>
              <w:top w:val="single" w:color="auto" w:sz="4" w:space="0"/>
              <w:left w:val="single" w:color="auto" w:sz="4" w:space="0"/>
              <w:right w:val="single" w:color="auto" w:sz="4" w:space="0"/>
            </w:tcBorders>
            <w:shd w:val="clear" w:color="auto" w:fill="FFFFFF"/>
            <w:noWrap w:val="0"/>
            <w:vAlign w:val="top"/>
          </w:tcPr>
          <w:p>
            <w:pPr>
              <w:pStyle w:val="13"/>
              <w:keepNext w:val="0"/>
              <w:keepLines w:val="0"/>
              <w:pageBreakBefore w:val="0"/>
              <w:widowControl w:val="0"/>
              <w:shd w:val="clear" w:color="auto" w:fill="auto"/>
              <w:kinsoku/>
              <w:wordWrap/>
              <w:overflowPunct/>
              <w:topLinePunct w:val="0"/>
              <w:autoSpaceDE/>
              <w:autoSpaceDN/>
              <w:bidi w:val="0"/>
              <w:adjustRightInd/>
              <w:spacing w:before="0" w:after="0" w:line="360" w:lineRule="auto"/>
              <w:ind w:left="0" w:right="0" w:firstLine="0"/>
              <w:jc w:val="center"/>
              <w:outlineLvl w:val="9"/>
              <w:rPr>
                <w:rFonts w:hint="eastAsia" w:ascii="仿宋" w:hAnsi="仿宋" w:eastAsia="仿宋" w:cs="仿宋"/>
                <w:color w:val="000000"/>
                <w:spacing w:val="0"/>
                <w:w w:val="100"/>
                <w:position w:val="0"/>
                <w:sz w:val="24"/>
                <w:szCs w:val="24"/>
                <w:highlight w:val="none"/>
                <w:lang w:val="en-US" w:eastAsia="zh-CN"/>
              </w:rPr>
            </w:pPr>
            <w:r>
              <w:rPr>
                <w:rFonts w:hint="eastAsia" w:ascii="仿宋" w:hAnsi="仿宋" w:eastAsia="仿宋" w:cs="仿宋"/>
                <w:color w:val="000000"/>
                <w:spacing w:val="0"/>
                <w:w w:val="100"/>
                <w:position w:val="0"/>
                <w:sz w:val="24"/>
                <w:szCs w:val="24"/>
                <w:highlight w:val="none"/>
                <w:lang w:val="en-US" w:eastAsia="zh-CN"/>
              </w:rPr>
              <w:t>中</w:t>
            </w:r>
          </w:p>
        </w:tc>
      </w:tr>
      <w:tr>
        <w:trPr>
          <w:trHeight w:val="456" w:hRule="exact"/>
          <w:jc w:val="center"/>
        </w:trPr>
        <w:tc>
          <w:tcPr>
            <w:tcW w:w="644" w:type="pct"/>
            <w:tcBorders>
              <w:top w:val="single" w:color="auto" w:sz="4" w:space="0"/>
              <w:left w:val="single" w:color="auto" w:sz="4" w:space="0"/>
            </w:tcBorders>
            <w:shd w:val="clear" w:color="auto" w:fill="FFFFFF"/>
            <w:noWrap w:val="0"/>
            <w:vAlign w:val="top"/>
          </w:tcPr>
          <w:p>
            <w:pPr>
              <w:pStyle w:val="13"/>
              <w:keepNext w:val="0"/>
              <w:keepLines w:val="0"/>
              <w:pageBreakBefore w:val="0"/>
              <w:widowControl w:val="0"/>
              <w:shd w:val="clear" w:color="auto" w:fill="auto"/>
              <w:kinsoku/>
              <w:wordWrap/>
              <w:overflowPunct/>
              <w:topLinePunct w:val="0"/>
              <w:autoSpaceDE/>
              <w:autoSpaceDN/>
              <w:bidi w:val="0"/>
              <w:adjustRightInd/>
              <w:spacing w:before="0" w:after="0" w:line="360" w:lineRule="auto"/>
              <w:ind w:left="0" w:right="0" w:firstLine="0"/>
              <w:jc w:val="center"/>
              <w:outlineLvl w:val="9"/>
              <w:rPr>
                <w:rFonts w:hint="eastAsia" w:ascii="仿宋" w:hAnsi="仿宋" w:eastAsia="仿宋" w:cs="仿宋"/>
                <w:color w:val="000000"/>
                <w:spacing w:val="0"/>
                <w:w w:val="100"/>
                <w:position w:val="0"/>
                <w:sz w:val="24"/>
                <w:szCs w:val="24"/>
                <w:highlight w:val="none"/>
                <w:lang w:val="en-US" w:eastAsia="zh-CN"/>
              </w:rPr>
            </w:pPr>
            <w:r>
              <w:rPr>
                <w:rFonts w:hint="eastAsia" w:ascii="仿宋" w:hAnsi="仿宋" w:eastAsia="仿宋" w:cs="仿宋"/>
                <w:color w:val="000000"/>
                <w:spacing w:val="0"/>
                <w:w w:val="100"/>
                <w:position w:val="0"/>
                <w:sz w:val="24"/>
                <w:szCs w:val="24"/>
                <w:highlight w:val="none"/>
                <w:lang w:val="en-US" w:eastAsia="zh-CN"/>
              </w:rPr>
              <w:t>4</w:t>
            </w:r>
          </w:p>
        </w:tc>
        <w:tc>
          <w:tcPr>
            <w:tcW w:w="2315" w:type="pct"/>
            <w:tcBorders>
              <w:top w:val="single" w:color="auto" w:sz="4" w:space="0"/>
              <w:left w:val="single" w:color="auto" w:sz="4" w:space="0"/>
            </w:tcBorders>
            <w:shd w:val="clear" w:color="auto" w:fill="FFFFFF"/>
            <w:noWrap w:val="0"/>
            <w:vAlign w:val="top"/>
          </w:tcPr>
          <w:p>
            <w:pPr>
              <w:pStyle w:val="13"/>
              <w:keepNext w:val="0"/>
              <w:keepLines w:val="0"/>
              <w:pageBreakBefore w:val="0"/>
              <w:widowControl w:val="0"/>
              <w:shd w:val="clear" w:color="auto" w:fill="auto"/>
              <w:kinsoku/>
              <w:wordWrap/>
              <w:overflowPunct/>
              <w:topLinePunct w:val="0"/>
              <w:autoSpaceDE/>
              <w:autoSpaceDN/>
              <w:bidi w:val="0"/>
              <w:adjustRightInd/>
              <w:spacing w:before="0" w:after="0" w:line="360" w:lineRule="auto"/>
              <w:ind w:left="0" w:right="0" w:firstLine="0"/>
              <w:jc w:val="center"/>
              <w:outlineLvl w:val="9"/>
              <w:rPr>
                <w:rFonts w:hint="eastAsia" w:ascii="仿宋" w:hAnsi="仿宋" w:eastAsia="仿宋" w:cs="仿宋"/>
                <w:color w:val="000000"/>
                <w:spacing w:val="0"/>
                <w:w w:val="100"/>
                <w:position w:val="0"/>
                <w:sz w:val="24"/>
                <w:szCs w:val="24"/>
                <w:highlight w:val="none"/>
                <w:lang w:val="en-US" w:eastAsia="zh-CN"/>
              </w:rPr>
            </w:pPr>
            <w:r>
              <w:rPr>
                <w:rFonts w:hint="eastAsia" w:ascii="仿宋" w:hAnsi="仿宋" w:eastAsia="仿宋" w:cs="仿宋"/>
                <w:color w:val="000000"/>
                <w:spacing w:val="0"/>
                <w:w w:val="100"/>
                <w:position w:val="0"/>
                <w:sz w:val="24"/>
                <w:szCs w:val="24"/>
                <w:highlight w:val="none"/>
                <w:lang w:val="en-US" w:eastAsia="zh-CN"/>
              </w:rPr>
              <w:t>60≤X＜70分</w:t>
            </w:r>
          </w:p>
        </w:tc>
        <w:tc>
          <w:tcPr>
            <w:tcW w:w="2041" w:type="pct"/>
            <w:tcBorders>
              <w:top w:val="single" w:color="auto" w:sz="4" w:space="0"/>
              <w:left w:val="single" w:color="auto" w:sz="4" w:space="0"/>
              <w:right w:val="single" w:color="auto" w:sz="4" w:space="0"/>
            </w:tcBorders>
            <w:shd w:val="clear" w:color="auto" w:fill="FFFFFF"/>
            <w:noWrap w:val="0"/>
            <w:vAlign w:val="top"/>
          </w:tcPr>
          <w:p>
            <w:pPr>
              <w:pStyle w:val="13"/>
              <w:keepNext w:val="0"/>
              <w:keepLines w:val="0"/>
              <w:pageBreakBefore w:val="0"/>
              <w:widowControl w:val="0"/>
              <w:shd w:val="clear" w:color="auto" w:fill="auto"/>
              <w:kinsoku/>
              <w:wordWrap/>
              <w:overflowPunct/>
              <w:topLinePunct w:val="0"/>
              <w:autoSpaceDE/>
              <w:autoSpaceDN/>
              <w:bidi w:val="0"/>
              <w:adjustRightInd/>
              <w:spacing w:before="0" w:after="0" w:line="360" w:lineRule="auto"/>
              <w:ind w:left="0" w:right="0" w:firstLine="0"/>
              <w:jc w:val="center"/>
              <w:outlineLvl w:val="9"/>
              <w:rPr>
                <w:rFonts w:hint="eastAsia" w:ascii="仿宋" w:hAnsi="仿宋" w:eastAsia="仿宋" w:cs="仿宋"/>
                <w:color w:val="000000"/>
                <w:spacing w:val="0"/>
                <w:w w:val="100"/>
                <w:position w:val="0"/>
                <w:sz w:val="24"/>
                <w:szCs w:val="24"/>
                <w:highlight w:val="none"/>
                <w:lang w:val="en-US" w:eastAsia="zh-CN"/>
              </w:rPr>
            </w:pPr>
            <w:r>
              <w:rPr>
                <w:rFonts w:hint="eastAsia" w:ascii="仿宋" w:hAnsi="仿宋" w:eastAsia="仿宋" w:cs="仿宋"/>
                <w:color w:val="000000"/>
                <w:spacing w:val="0"/>
                <w:w w:val="100"/>
                <w:position w:val="0"/>
                <w:sz w:val="24"/>
                <w:szCs w:val="24"/>
                <w:highlight w:val="none"/>
                <w:lang w:val="en-US" w:eastAsia="zh-CN"/>
              </w:rPr>
              <w:t>低</w:t>
            </w:r>
          </w:p>
        </w:tc>
      </w:tr>
      <w:tr>
        <w:trPr>
          <w:trHeight w:val="475" w:hRule="exact"/>
          <w:jc w:val="center"/>
        </w:trPr>
        <w:tc>
          <w:tcPr>
            <w:tcW w:w="644" w:type="pct"/>
            <w:tcBorders>
              <w:top w:val="single" w:color="auto" w:sz="4" w:space="0"/>
              <w:left w:val="single" w:color="auto" w:sz="4" w:space="0"/>
              <w:bottom w:val="single" w:color="auto" w:sz="4" w:space="0"/>
            </w:tcBorders>
            <w:shd w:val="clear" w:color="auto" w:fill="FFFFFF"/>
            <w:noWrap w:val="0"/>
            <w:vAlign w:val="top"/>
          </w:tcPr>
          <w:p>
            <w:pPr>
              <w:pStyle w:val="13"/>
              <w:keepNext w:val="0"/>
              <w:keepLines w:val="0"/>
              <w:pageBreakBefore w:val="0"/>
              <w:widowControl w:val="0"/>
              <w:shd w:val="clear" w:color="auto" w:fill="auto"/>
              <w:kinsoku/>
              <w:wordWrap/>
              <w:overflowPunct/>
              <w:topLinePunct w:val="0"/>
              <w:autoSpaceDE/>
              <w:autoSpaceDN/>
              <w:bidi w:val="0"/>
              <w:adjustRightInd/>
              <w:spacing w:before="0" w:after="0" w:line="360" w:lineRule="auto"/>
              <w:ind w:left="0" w:right="0" w:firstLine="0"/>
              <w:jc w:val="center"/>
              <w:outlineLvl w:val="9"/>
              <w:rPr>
                <w:rFonts w:hint="eastAsia" w:ascii="仿宋" w:hAnsi="仿宋" w:eastAsia="仿宋" w:cs="仿宋"/>
                <w:color w:val="000000"/>
                <w:spacing w:val="0"/>
                <w:w w:val="100"/>
                <w:position w:val="0"/>
                <w:sz w:val="24"/>
                <w:szCs w:val="24"/>
                <w:highlight w:val="none"/>
                <w:lang w:val="en-US" w:eastAsia="zh-CN"/>
              </w:rPr>
            </w:pPr>
            <w:r>
              <w:rPr>
                <w:rFonts w:hint="eastAsia" w:ascii="仿宋" w:hAnsi="仿宋" w:eastAsia="仿宋" w:cs="仿宋"/>
                <w:color w:val="000000"/>
                <w:spacing w:val="0"/>
                <w:w w:val="100"/>
                <w:position w:val="0"/>
                <w:sz w:val="24"/>
                <w:szCs w:val="24"/>
                <w:highlight w:val="none"/>
                <w:lang w:val="en-US" w:eastAsia="zh-CN"/>
              </w:rPr>
              <w:t>5</w:t>
            </w:r>
          </w:p>
        </w:tc>
        <w:tc>
          <w:tcPr>
            <w:tcW w:w="2315" w:type="pct"/>
            <w:tcBorders>
              <w:top w:val="single" w:color="auto" w:sz="4" w:space="0"/>
              <w:left w:val="single" w:color="auto" w:sz="4" w:space="0"/>
              <w:bottom w:val="single" w:color="auto" w:sz="4" w:space="0"/>
            </w:tcBorders>
            <w:shd w:val="clear" w:color="auto" w:fill="FFFFFF"/>
            <w:noWrap w:val="0"/>
            <w:vAlign w:val="top"/>
          </w:tcPr>
          <w:p>
            <w:pPr>
              <w:pStyle w:val="13"/>
              <w:keepNext w:val="0"/>
              <w:keepLines w:val="0"/>
              <w:pageBreakBefore w:val="0"/>
              <w:widowControl w:val="0"/>
              <w:shd w:val="clear" w:color="auto" w:fill="auto"/>
              <w:kinsoku/>
              <w:wordWrap/>
              <w:overflowPunct/>
              <w:topLinePunct w:val="0"/>
              <w:autoSpaceDE/>
              <w:autoSpaceDN/>
              <w:bidi w:val="0"/>
              <w:adjustRightInd/>
              <w:spacing w:before="0" w:after="0" w:line="360" w:lineRule="auto"/>
              <w:ind w:left="0" w:right="0" w:firstLine="0"/>
              <w:jc w:val="center"/>
              <w:outlineLvl w:val="9"/>
              <w:rPr>
                <w:rFonts w:hint="eastAsia" w:ascii="仿宋" w:hAnsi="仿宋" w:eastAsia="仿宋" w:cs="仿宋"/>
                <w:color w:val="000000"/>
                <w:spacing w:val="0"/>
                <w:w w:val="100"/>
                <w:position w:val="0"/>
                <w:sz w:val="24"/>
                <w:szCs w:val="24"/>
                <w:highlight w:val="none"/>
                <w:lang w:val="en-US" w:eastAsia="zh-CN"/>
              </w:rPr>
            </w:pPr>
            <w:r>
              <w:rPr>
                <w:rFonts w:hint="eastAsia" w:ascii="仿宋" w:hAnsi="仿宋" w:eastAsia="仿宋" w:cs="仿宋"/>
                <w:color w:val="000000"/>
                <w:spacing w:val="0"/>
                <w:w w:val="100"/>
                <w:position w:val="0"/>
                <w:sz w:val="24"/>
                <w:szCs w:val="24"/>
                <w:highlight w:val="none"/>
                <w:lang w:val="en-US" w:eastAsia="zh-CN"/>
              </w:rPr>
              <w:t>0≤X＜60分</w:t>
            </w:r>
          </w:p>
        </w:tc>
        <w:tc>
          <w:tcPr>
            <w:tcW w:w="2041" w:type="pct"/>
            <w:tcBorders>
              <w:top w:val="single" w:color="auto" w:sz="4" w:space="0"/>
              <w:left w:val="single" w:color="auto" w:sz="4" w:space="0"/>
              <w:bottom w:val="single" w:color="auto" w:sz="4" w:space="0"/>
              <w:right w:val="single" w:color="auto" w:sz="4" w:space="0"/>
            </w:tcBorders>
            <w:shd w:val="clear" w:color="auto" w:fill="FFFFFF"/>
            <w:noWrap w:val="0"/>
            <w:vAlign w:val="top"/>
          </w:tcPr>
          <w:p>
            <w:pPr>
              <w:pStyle w:val="13"/>
              <w:keepNext w:val="0"/>
              <w:keepLines w:val="0"/>
              <w:pageBreakBefore w:val="0"/>
              <w:widowControl w:val="0"/>
              <w:shd w:val="clear" w:color="auto" w:fill="auto"/>
              <w:kinsoku/>
              <w:wordWrap/>
              <w:overflowPunct/>
              <w:topLinePunct w:val="0"/>
              <w:autoSpaceDE/>
              <w:autoSpaceDN/>
              <w:bidi w:val="0"/>
              <w:adjustRightInd/>
              <w:spacing w:before="0" w:after="0" w:line="360" w:lineRule="auto"/>
              <w:ind w:left="0" w:right="0" w:firstLine="0"/>
              <w:jc w:val="center"/>
              <w:outlineLvl w:val="9"/>
              <w:rPr>
                <w:rFonts w:hint="eastAsia" w:ascii="仿宋" w:hAnsi="仿宋" w:eastAsia="仿宋" w:cs="仿宋"/>
                <w:color w:val="000000"/>
                <w:spacing w:val="0"/>
                <w:w w:val="100"/>
                <w:position w:val="0"/>
                <w:sz w:val="24"/>
                <w:szCs w:val="24"/>
                <w:highlight w:val="none"/>
                <w:lang w:val="en-US" w:eastAsia="zh-CN"/>
              </w:rPr>
            </w:pPr>
            <w:r>
              <w:rPr>
                <w:rFonts w:hint="eastAsia" w:ascii="仿宋" w:hAnsi="仿宋" w:eastAsia="仿宋" w:cs="仿宋"/>
                <w:color w:val="000000"/>
                <w:spacing w:val="0"/>
                <w:w w:val="100"/>
                <w:position w:val="0"/>
                <w:sz w:val="24"/>
                <w:szCs w:val="24"/>
                <w:highlight w:val="none"/>
                <w:lang w:val="en-US" w:eastAsia="zh-CN"/>
              </w:rPr>
              <w:t>差</w:t>
            </w:r>
          </w:p>
        </w:tc>
      </w:tr>
    </w:tbl>
    <w:p>
      <w:pPr>
        <w:pStyle w:val="13"/>
        <w:keepNext w:val="0"/>
        <w:keepLines w:val="0"/>
        <w:pageBreakBefore w:val="0"/>
        <w:widowControl w:val="0"/>
        <w:shd w:val="clear" w:color="auto" w:fill="auto"/>
        <w:kinsoku/>
        <w:wordWrap/>
        <w:overflowPunct/>
        <w:topLinePunct w:val="0"/>
        <w:autoSpaceDE/>
        <w:autoSpaceDN/>
        <w:bidi w:val="0"/>
        <w:adjustRightInd/>
        <w:spacing w:before="0" w:after="0" w:line="560" w:lineRule="exact"/>
        <w:ind w:left="0" w:right="0" w:firstLine="0"/>
        <w:jc w:val="left"/>
        <w:outlineLvl w:val="9"/>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 xml:space="preserve">    </w:t>
      </w:r>
      <w:r>
        <w:rPr>
          <w:rFonts w:hint="default" w:ascii="仿宋" w:hAnsi="仿宋" w:eastAsia="仿宋" w:cs="仿宋"/>
          <w:color w:val="auto"/>
          <w:sz w:val="28"/>
          <w:szCs w:val="28"/>
          <w:highlight w:val="none"/>
          <w:lang w:val="en-US" w:eastAsia="zh-CN"/>
        </w:rPr>
        <w:t>依据既定的指标体系和评分标准，结合</w:t>
      </w:r>
      <w:r>
        <w:rPr>
          <w:rFonts w:hint="eastAsia" w:ascii="仿宋" w:hAnsi="仿宋" w:eastAsia="仿宋" w:cs="仿宋"/>
          <w:color w:val="auto"/>
          <w:sz w:val="28"/>
          <w:szCs w:val="28"/>
          <w:highlight w:val="none"/>
          <w:lang w:val="en-US" w:eastAsia="zh-CN"/>
        </w:rPr>
        <w:t>湛江市土地储备管理中心</w:t>
      </w:r>
      <w:r>
        <w:rPr>
          <w:rFonts w:hint="default" w:ascii="仿宋" w:hAnsi="仿宋" w:eastAsia="仿宋" w:cs="仿宋"/>
          <w:color w:val="auto"/>
          <w:sz w:val="28"/>
          <w:szCs w:val="28"/>
          <w:highlight w:val="none"/>
          <w:lang w:val="en-US" w:eastAsia="zh-CN"/>
        </w:rPr>
        <w:t>提交的自评材料及核验的评价结果，</w:t>
      </w:r>
      <w:r>
        <w:rPr>
          <w:rFonts w:hint="eastAsia" w:ascii="仿宋" w:hAnsi="仿宋" w:eastAsia="仿宋" w:cs="仿宋"/>
          <w:color w:val="auto"/>
          <w:sz w:val="28"/>
          <w:szCs w:val="28"/>
          <w:highlight w:val="none"/>
          <w:lang w:val="en-US" w:eastAsia="zh-CN"/>
        </w:rPr>
        <w:t>2022年部门整体支出绩效评价核查</w:t>
      </w:r>
      <w:r>
        <w:rPr>
          <w:rFonts w:hint="default" w:ascii="仿宋" w:hAnsi="仿宋" w:eastAsia="仿宋" w:cs="仿宋"/>
          <w:color w:val="auto"/>
          <w:sz w:val="28"/>
          <w:szCs w:val="28"/>
          <w:highlight w:val="none"/>
          <w:lang w:val="en-US" w:eastAsia="zh-CN"/>
        </w:rPr>
        <w:t>得分为</w:t>
      </w:r>
      <w:r>
        <w:rPr>
          <w:rFonts w:hint="eastAsia" w:ascii="仿宋" w:hAnsi="仿宋" w:eastAsia="仿宋" w:cs="仿宋"/>
          <w:color w:val="auto"/>
          <w:sz w:val="28"/>
          <w:szCs w:val="28"/>
          <w:highlight w:val="none"/>
          <w:lang w:val="en-US" w:eastAsia="zh-CN"/>
        </w:rPr>
        <w:t>89.98</w:t>
      </w:r>
      <w:r>
        <w:rPr>
          <w:rFonts w:hint="default" w:ascii="仿宋" w:hAnsi="仿宋" w:eastAsia="仿宋" w:cs="仿宋"/>
          <w:color w:val="auto"/>
          <w:sz w:val="28"/>
          <w:szCs w:val="28"/>
          <w:highlight w:val="none"/>
          <w:lang w:val="en-US" w:eastAsia="zh-CN"/>
        </w:rPr>
        <w:t>分，等级为</w:t>
      </w:r>
      <w:r>
        <w:rPr>
          <w:rFonts w:hint="eastAsia" w:ascii="仿宋" w:hAnsi="仿宋" w:eastAsia="仿宋" w:cs="仿宋"/>
          <w:color w:val="auto"/>
          <w:sz w:val="28"/>
          <w:szCs w:val="28"/>
          <w:highlight w:val="none"/>
          <w:lang w:val="en-US" w:eastAsia="zh-CN"/>
        </w:rPr>
        <w:t>良</w:t>
      </w:r>
      <w:r>
        <w:rPr>
          <w:rFonts w:hint="default" w:ascii="仿宋" w:hAnsi="仿宋" w:eastAsia="仿宋" w:cs="仿宋"/>
          <w:color w:val="auto"/>
          <w:sz w:val="28"/>
          <w:szCs w:val="28"/>
          <w:highlight w:val="none"/>
          <w:lang w:val="en-US" w:eastAsia="zh-CN"/>
        </w:rPr>
        <w:t>。</w:t>
      </w:r>
      <w:r>
        <w:rPr>
          <w:rFonts w:hint="eastAsia" w:ascii="仿宋" w:hAnsi="仿宋" w:eastAsia="仿宋" w:cs="仿宋"/>
          <w:color w:val="auto"/>
          <w:sz w:val="28"/>
          <w:szCs w:val="28"/>
          <w:highlight w:val="none"/>
          <w:lang w:val="en-US" w:eastAsia="zh-CN"/>
        </w:rPr>
        <w:t>详见表2：</w:t>
      </w:r>
    </w:p>
    <w:p>
      <w:pPr>
        <w:keepNext w:val="0"/>
        <w:keepLines w:val="0"/>
        <w:pageBreakBefore w:val="0"/>
        <w:kinsoku/>
        <w:wordWrap/>
        <w:overflowPunct/>
        <w:topLinePunct w:val="0"/>
        <w:autoSpaceDE/>
        <w:autoSpaceDN/>
        <w:bidi w:val="0"/>
        <w:adjustRightInd/>
        <w:snapToGrid w:val="0"/>
        <w:spacing w:line="560" w:lineRule="exact"/>
        <w:ind w:firstLine="562" w:firstLineChars="200"/>
        <w:jc w:val="center"/>
        <w:textAlignment w:val="auto"/>
        <w:rPr>
          <w:rFonts w:hint="eastAsia" w:ascii="仿宋" w:hAnsi="仿宋" w:eastAsia="仿宋" w:cs="仿宋"/>
          <w:b/>
          <w:bCs/>
          <w:color w:val="auto"/>
          <w:sz w:val="28"/>
          <w:szCs w:val="28"/>
          <w:highlight w:val="none"/>
        </w:rPr>
      </w:pPr>
      <w:bookmarkStart w:id="22" w:name="bookmark56"/>
      <w:bookmarkStart w:id="23" w:name="_Toc4575"/>
      <w:bookmarkStart w:id="24" w:name="bookmark55"/>
      <w:bookmarkStart w:id="25" w:name="_Toc1778"/>
      <w:bookmarkStart w:id="26" w:name="bookmark54"/>
      <w:r>
        <w:rPr>
          <w:rFonts w:hint="eastAsia" w:ascii="仿宋" w:hAnsi="仿宋" w:eastAsia="仿宋" w:cs="仿宋"/>
          <w:b/>
          <w:bCs/>
          <w:color w:val="auto"/>
          <w:sz w:val="28"/>
          <w:szCs w:val="28"/>
          <w:highlight w:val="none"/>
          <w:lang w:val="en-US" w:eastAsia="zh-CN"/>
        </w:rPr>
        <w:t>表2 部门整体支出绩效</w:t>
      </w:r>
      <w:r>
        <w:rPr>
          <w:rFonts w:hint="eastAsia" w:ascii="仿宋" w:hAnsi="仿宋" w:eastAsia="仿宋" w:cs="仿宋"/>
          <w:b/>
          <w:bCs/>
          <w:color w:val="auto"/>
          <w:sz w:val="28"/>
          <w:szCs w:val="28"/>
          <w:highlight w:val="none"/>
        </w:rPr>
        <w:t>评价</w:t>
      </w:r>
      <w:r>
        <w:rPr>
          <w:rFonts w:hint="eastAsia" w:ascii="仿宋" w:hAnsi="仿宋" w:eastAsia="仿宋" w:cs="仿宋"/>
          <w:b/>
          <w:bCs/>
          <w:color w:val="auto"/>
          <w:sz w:val="28"/>
          <w:szCs w:val="28"/>
          <w:highlight w:val="none"/>
          <w:lang w:eastAsia="zh-CN"/>
        </w:rPr>
        <w:t>评分汇</w:t>
      </w:r>
      <w:r>
        <w:rPr>
          <w:rFonts w:hint="eastAsia" w:ascii="仿宋" w:hAnsi="仿宋" w:eastAsia="仿宋" w:cs="仿宋"/>
          <w:b/>
          <w:bCs/>
          <w:color w:val="auto"/>
          <w:sz w:val="28"/>
          <w:szCs w:val="28"/>
          <w:highlight w:val="none"/>
        </w:rPr>
        <w:t>总表</w:t>
      </w:r>
      <w:bookmarkEnd w:id="22"/>
      <w:bookmarkEnd w:id="23"/>
      <w:bookmarkEnd w:id="24"/>
      <w:bookmarkEnd w:id="25"/>
      <w:bookmarkEnd w:id="26"/>
    </w:p>
    <w:tbl>
      <w:tblPr>
        <w:tblStyle w:val="8"/>
        <w:tblW w:w="4997" w:type="pct"/>
        <w:jc w:val="center"/>
        <w:tblLayout w:type="autofit"/>
        <w:tblCellMar>
          <w:top w:w="0" w:type="dxa"/>
          <w:left w:w="10" w:type="dxa"/>
          <w:bottom w:w="0" w:type="dxa"/>
          <w:right w:w="10" w:type="dxa"/>
        </w:tblCellMar>
      </w:tblPr>
      <w:tblGrid>
        <w:gridCol w:w="2136"/>
        <w:gridCol w:w="2125"/>
        <w:gridCol w:w="2125"/>
        <w:gridCol w:w="2133"/>
      </w:tblGrid>
      <w:tr>
        <w:trPr>
          <w:trHeight w:val="475" w:hRule="exact"/>
          <w:tblHeader/>
          <w:jc w:val="center"/>
        </w:trPr>
        <w:tc>
          <w:tcPr>
            <w:tcW w:w="2136" w:type="dxa"/>
            <w:tcBorders>
              <w:top w:val="single" w:color="auto" w:sz="4" w:space="0"/>
              <w:left w:val="single" w:color="auto"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sz w:val="24"/>
                <w:szCs w:val="24"/>
                <w:highlight w:val="none"/>
              </w:rPr>
            </w:pPr>
            <w:r>
              <w:rPr>
                <w:rFonts w:hint="default" w:ascii="仿宋" w:hAnsi="仿宋" w:eastAsia="仿宋" w:cs="仿宋"/>
                <w:b/>
                <w:bCs/>
                <w:i w:val="0"/>
                <w:iCs w:val="0"/>
                <w:color w:val="000000"/>
                <w:kern w:val="0"/>
                <w:sz w:val="24"/>
                <w:szCs w:val="24"/>
                <w:u w:val="none"/>
                <w:lang w:val="en-US" w:eastAsia="zh-CN" w:bidi="ar"/>
              </w:rPr>
              <w:t>一级指标</w:t>
            </w:r>
          </w:p>
        </w:tc>
        <w:tc>
          <w:tcPr>
            <w:tcW w:w="2125" w:type="dxa"/>
            <w:tcBorders>
              <w:top w:val="single" w:color="auto" w:sz="4" w:space="0"/>
              <w:left w:val="single" w:color="auto"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sz w:val="24"/>
                <w:szCs w:val="24"/>
                <w:highlight w:val="none"/>
              </w:rPr>
            </w:pPr>
            <w:r>
              <w:rPr>
                <w:rFonts w:hint="default" w:ascii="仿宋" w:hAnsi="仿宋" w:eastAsia="仿宋" w:cs="仿宋"/>
                <w:b/>
                <w:bCs/>
                <w:i w:val="0"/>
                <w:iCs w:val="0"/>
                <w:color w:val="000000"/>
                <w:kern w:val="0"/>
                <w:sz w:val="24"/>
                <w:szCs w:val="24"/>
                <w:u w:val="none"/>
                <w:lang w:val="en-US" w:eastAsia="zh-CN" w:bidi="ar"/>
              </w:rPr>
              <w:t>指标分值</w:t>
            </w:r>
          </w:p>
        </w:tc>
        <w:tc>
          <w:tcPr>
            <w:tcW w:w="2125" w:type="dxa"/>
            <w:tcBorders>
              <w:top w:val="single" w:color="auto" w:sz="4" w:space="0"/>
              <w:left w:val="single" w:color="auto"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sz w:val="24"/>
                <w:szCs w:val="24"/>
                <w:highlight w:val="none"/>
              </w:rPr>
            </w:pPr>
            <w:r>
              <w:rPr>
                <w:rFonts w:hint="default" w:ascii="仿宋" w:hAnsi="仿宋" w:eastAsia="仿宋" w:cs="仿宋"/>
                <w:b/>
                <w:bCs/>
                <w:i w:val="0"/>
                <w:iCs w:val="0"/>
                <w:color w:val="000000"/>
                <w:kern w:val="0"/>
                <w:sz w:val="24"/>
                <w:szCs w:val="24"/>
                <w:u w:val="none"/>
                <w:lang w:val="en-US" w:eastAsia="zh-CN" w:bidi="ar"/>
              </w:rPr>
              <w:t>评价得分</w:t>
            </w:r>
          </w:p>
        </w:tc>
        <w:tc>
          <w:tcPr>
            <w:tcW w:w="2133" w:type="dxa"/>
            <w:tcBorders>
              <w:top w:val="single" w:color="auto" w:sz="4" w:space="0"/>
              <w:left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sz w:val="24"/>
                <w:szCs w:val="24"/>
                <w:highlight w:val="none"/>
                <w:lang w:eastAsia="zh-CN"/>
              </w:rPr>
            </w:pPr>
            <w:r>
              <w:rPr>
                <w:rFonts w:hint="default" w:ascii="仿宋" w:hAnsi="仿宋" w:eastAsia="仿宋" w:cs="仿宋"/>
                <w:b/>
                <w:bCs/>
                <w:i w:val="0"/>
                <w:iCs w:val="0"/>
                <w:color w:val="000000"/>
                <w:kern w:val="0"/>
                <w:sz w:val="24"/>
                <w:szCs w:val="24"/>
                <w:u w:val="none"/>
                <w:lang w:val="en-US" w:eastAsia="zh-CN" w:bidi="ar"/>
              </w:rPr>
              <w:t>得分率</w:t>
            </w:r>
          </w:p>
        </w:tc>
      </w:tr>
      <w:tr>
        <w:trPr>
          <w:trHeight w:val="461" w:hRule="exact"/>
          <w:jc w:val="center"/>
        </w:trPr>
        <w:tc>
          <w:tcPr>
            <w:tcW w:w="2136" w:type="dxa"/>
            <w:tcBorders>
              <w:top w:val="single" w:color="auto" w:sz="4" w:space="0"/>
              <w:left w:val="single" w:color="auto"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color w:val="000000"/>
                <w:spacing w:val="0"/>
                <w:w w:val="100"/>
                <w:position w:val="0"/>
                <w:sz w:val="24"/>
                <w:szCs w:val="24"/>
                <w:highlight w:val="none"/>
              </w:rPr>
            </w:pPr>
            <w:r>
              <w:rPr>
                <w:rFonts w:hint="default" w:ascii="仿宋" w:hAnsi="仿宋" w:eastAsia="仿宋" w:cs="仿宋"/>
                <w:i w:val="0"/>
                <w:iCs w:val="0"/>
                <w:color w:val="000000"/>
                <w:kern w:val="0"/>
                <w:sz w:val="24"/>
                <w:szCs w:val="24"/>
                <w:u w:val="none"/>
                <w:lang w:val="en-US" w:eastAsia="zh-CN" w:bidi="ar"/>
              </w:rPr>
              <w:t>预算编制情况</w:t>
            </w:r>
          </w:p>
        </w:tc>
        <w:tc>
          <w:tcPr>
            <w:tcW w:w="2125" w:type="dxa"/>
            <w:tcBorders>
              <w:top w:val="single" w:color="auto" w:sz="4" w:space="0"/>
              <w:left w:val="single" w:color="auto" w:sz="4" w:space="0"/>
            </w:tcBorders>
            <w:shd w:val="clear" w:color="auto" w:fill="FFFFFF"/>
            <w:vAlign w:val="center"/>
          </w:tcPr>
          <w:p>
            <w:pPr>
              <w:keepNext w:val="0"/>
              <w:keepLines w:val="0"/>
              <w:widowControl/>
              <w:suppressLineNumbers w:val="0"/>
              <w:jc w:val="center"/>
              <w:textAlignment w:val="center"/>
              <w:rPr>
                <w:rFonts w:hint="default" w:ascii="仿宋" w:hAnsi="仿宋" w:eastAsia="仿宋" w:cs="仿宋"/>
                <w:color w:val="000000"/>
                <w:spacing w:val="0"/>
                <w:w w:val="100"/>
                <w:position w:val="0"/>
                <w:sz w:val="24"/>
                <w:szCs w:val="24"/>
                <w:highlight w:val="none"/>
                <w:lang w:val="en-US" w:eastAsia="zh-CN"/>
              </w:rPr>
            </w:pPr>
            <w:r>
              <w:rPr>
                <w:rFonts w:hint="default" w:ascii="仿宋" w:hAnsi="仿宋" w:eastAsia="仿宋" w:cs="仿宋"/>
                <w:i w:val="0"/>
                <w:iCs w:val="0"/>
                <w:color w:val="000000"/>
                <w:kern w:val="0"/>
                <w:sz w:val="24"/>
                <w:szCs w:val="24"/>
                <w:u w:val="none"/>
                <w:lang w:val="en-US" w:eastAsia="zh-CN" w:bidi="ar"/>
              </w:rPr>
              <w:t>20</w:t>
            </w:r>
          </w:p>
        </w:tc>
        <w:tc>
          <w:tcPr>
            <w:tcW w:w="2125" w:type="dxa"/>
            <w:tcBorders>
              <w:top w:val="single" w:color="auto" w:sz="4" w:space="0"/>
              <w:left w:val="single" w:color="auto" w:sz="4" w:space="0"/>
            </w:tcBorders>
            <w:shd w:val="clear" w:color="auto" w:fill="FFFFFF"/>
            <w:vAlign w:val="center"/>
          </w:tcPr>
          <w:p>
            <w:pPr>
              <w:keepNext w:val="0"/>
              <w:keepLines w:val="0"/>
              <w:widowControl/>
              <w:suppressLineNumbers w:val="0"/>
              <w:jc w:val="center"/>
              <w:textAlignment w:val="center"/>
              <w:rPr>
                <w:rFonts w:hint="default" w:ascii="仿宋" w:hAnsi="仿宋" w:eastAsia="仿宋" w:cs="仿宋"/>
                <w:color w:val="000000"/>
                <w:spacing w:val="0"/>
                <w:w w:val="100"/>
                <w:position w:val="0"/>
                <w:sz w:val="24"/>
                <w:szCs w:val="24"/>
                <w:highlight w:val="none"/>
                <w:lang w:val="en-US" w:eastAsia="zh-CN"/>
              </w:rPr>
            </w:pPr>
            <w:r>
              <w:rPr>
                <w:rFonts w:hint="default" w:ascii="仿宋" w:hAnsi="仿宋" w:eastAsia="仿宋" w:cs="仿宋"/>
                <w:i w:val="0"/>
                <w:iCs w:val="0"/>
                <w:color w:val="000000"/>
                <w:kern w:val="0"/>
                <w:sz w:val="24"/>
                <w:szCs w:val="24"/>
                <w:u w:val="none"/>
                <w:lang w:val="en-US" w:eastAsia="zh-CN" w:bidi="ar"/>
              </w:rPr>
              <w:t>15.5</w:t>
            </w:r>
          </w:p>
        </w:tc>
        <w:tc>
          <w:tcPr>
            <w:tcW w:w="2133" w:type="dxa"/>
            <w:tcBorders>
              <w:top w:val="single" w:color="auto" w:sz="4" w:space="0"/>
              <w:left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color w:val="000000"/>
                <w:spacing w:val="0"/>
                <w:w w:val="100"/>
                <w:position w:val="0"/>
                <w:sz w:val="24"/>
                <w:szCs w:val="24"/>
                <w:highlight w:val="none"/>
                <w:lang w:val="en-US" w:eastAsia="zh-CN"/>
              </w:rPr>
            </w:pPr>
            <w:r>
              <w:rPr>
                <w:rFonts w:hint="default" w:ascii="仿宋" w:hAnsi="仿宋" w:eastAsia="仿宋" w:cs="仿宋"/>
                <w:i w:val="0"/>
                <w:iCs w:val="0"/>
                <w:color w:val="000000"/>
                <w:kern w:val="0"/>
                <w:sz w:val="24"/>
                <w:szCs w:val="24"/>
                <w:u w:val="none"/>
                <w:lang w:val="en-US" w:eastAsia="zh-CN" w:bidi="ar"/>
              </w:rPr>
              <w:t>77.50%</w:t>
            </w:r>
          </w:p>
        </w:tc>
      </w:tr>
      <w:tr>
        <w:trPr>
          <w:trHeight w:val="461" w:hRule="exact"/>
          <w:jc w:val="center"/>
        </w:trPr>
        <w:tc>
          <w:tcPr>
            <w:tcW w:w="2136" w:type="dxa"/>
            <w:tcBorders>
              <w:top w:val="single" w:color="auto" w:sz="4" w:space="0"/>
              <w:left w:val="single" w:color="auto"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sz w:val="24"/>
                <w:szCs w:val="24"/>
                <w:highlight w:val="none"/>
              </w:rPr>
            </w:pPr>
            <w:r>
              <w:rPr>
                <w:rFonts w:hint="default" w:ascii="仿宋" w:hAnsi="仿宋" w:eastAsia="仿宋" w:cs="仿宋"/>
                <w:i w:val="0"/>
                <w:iCs w:val="0"/>
                <w:color w:val="000000"/>
                <w:kern w:val="0"/>
                <w:sz w:val="24"/>
                <w:szCs w:val="24"/>
                <w:u w:val="none"/>
                <w:lang w:val="en-US" w:eastAsia="zh-CN" w:bidi="ar"/>
              </w:rPr>
              <w:t>预算执行情况</w:t>
            </w:r>
          </w:p>
        </w:tc>
        <w:tc>
          <w:tcPr>
            <w:tcW w:w="2125" w:type="dxa"/>
            <w:tcBorders>
              <w:top w:val="single" w:color="auto" w:sz="4" w:space="0"/>
              <w:left w:val="single" w:color="auto" w:sz="4" w:space="0"/>
            </w:tcBorders>
            <w:shd w:val="clear" w:color="auto" w:fill="FFFFFF"/>
            <w:vAlign w:val="center"/>
          </w:tcPr>
          <w:p>
            <w:pPr>
              <w:keepNext w:val="0"/>
              <w:keepLines w:val="0"/>
              <w:widowControl/>
              <w:suppressLineNumbers w:val="0"/>
              <w:jc w:val="center"/>
              <w:textAlignment w:val="center"/>
              <w:rPr>
                <w:rFonts w:hint="default" w:ascii="仿宋" w:hAnsi="仿宋" w:eastAsia="仿宋" w:cs="仿宋"/>
                <w:sz w:val="24"/>
                <w:szCs w:val="24"/>
                <w:highlight w:val="none"/>
                <w:lang w:val="en-US" w:eastAsia="zh-CN"/>
              </w:rPr>
            </w:pPr>
            <w:r>
              <w:rPr>
                <w:rFonts w:hint="default" w:ascii="仿宋" w:hAnsi="仿宋" w:eastAsia="仿宋" w:cs="仿宋"/>
                <w:i w:val="0"/>
                <w:iCs w:val="0"/>
                <w:color w:val="000000"/>
                <w:kern w:val="0"/>
                <w:sz w:val="24"/>
                <w:szCs w:val="24"/>
                <w:u w:val="none"/>
                <w:lang w:val="en-US" w:eastAsia="zh-CN" w:bidi="ar"/>
              </w:rPr>
              <w:t>40</w:t>
            </w:r>
          </w:p>
        </w:tc>
        <w:tc>
          <w:tcPr>
            <w:tcW w:w="2125" w:type="dxa"/>
            <w:tcBorders>
              <w:top w:val="single" w:color="auto" w:sz="4" w:space="0"/>
              <w:left w:val="single" w:color="auto" w:sz="4" w:space="0"/>
            </w:tcBorders>
            <w:shd w:val="clear" w:color="auto" w:fill="FFFFFF"/>
            <w:vAlign w:val="center"/>
          </w:tcPr>
          <w:p>
            <w:pPr>
              <w:keepNext w:val="0"/>
              <w:keepLines w:val="0"/>
              <w:widowControl/>
              <w:suppressLineNumbers w:val="0"/>
              <w:jc w:val="center"/>
              <w:textAlignment w:val="center"/>
              <w:rPr>
                <w:rFonts w:hint="default" w:ascii="仿宋" w:hAnsi="仿宋" w:eastAsia="仿宋" w:cs="仿宋"/>
                <w:sz w:val="24"/>
                <w:szCs w:val="24"/>
                <w:highlight w:val="none"/>
                <w:lang w:val="en-US" w:eastAsia="zh-CN"/>
              </w:rPr>
            </w:pPr>
            <w:r>
              <w:rPr>
                <w:rFonts w:hint="default" w:ascii="仿宋" w:hAnsi="仿宋" w:eastAsia="仿宋" w:cs="仿宋"/>
                <w:i w:val="0"/>
                <w:iCs w:val="0"/>
                <w:color w:val="000000"/>
                <w:kern w:val="0"/>
                <w:sz w:val="24"/>
                <w:szCs w:val="24"/>
                <w:u w:val="none"/>
                <w:lang w:val="en-US" w:eastAsia="zh-CN" w:bidi="ar"/>
              </w:rPr>
              <w:t>38.37</w:t>
            </w:r>
          </w:p>
        </w:tc>
        <w:tc>
          <w:tcPr>
            <w:tcW w:w="2133" w:type="dxa"/>
            <w:tcBorders>
              <w:top w:val="single" w:color="auto" w:sz="4" w:space="0"/>
              <w:left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sz w:val="24"/>
                <w:szCs w:val="24"/>
                <w:highlight w:val="none"/>
                <w:lang w:val="en-US" w:eastAsia="zh-CN"/>
              </w:rPr>
            </w:pPr>
            <w:r>
              <w:rPr>
                <w:rFonts w:hint="default" w:ascii="仿宋" w:hAnsi="仿宋" w:eastAsia="仿宋" w:cs="仿宋"/>
                <w:i w:val="0"/>
                <w:iCs w:val="0"/>
                <w:color w:val="000000"/>
                <w:kern w:val="0"/>
                <w:sz w:val="24"/>
                <w:szCs w:val="24"/>
                <w:u w:val="none"/>
                <w:lang w:val="en-US" w:eastAsia="zh-CN" w:bidi="ar"/>
              </w:rPr>
              <w:t>95.93%</w:t>
            </w:r>
          </w:p>
        </w:tc>
      </w:tr>
      <w:tr>
        <w:trPr>
          <w:trHeight w:val="456" w:hRule="exact"/>
          <w:jc w:val="center"/>
        </w:trPr>
        <w:tc>
          <w:tcPr>
            <w:tcW w:w="2136" w:type="dxa"/>
            <w:tcBorders>
              <w:top w:val="single" w:color="auto" w:sz="4" w:space="0"/>
              <w:left w:val="single" w:color="auto"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color w:val="000000"/>
                <w:spacing w:val="0"/>
                <w:w w:val="100"/>
                <w:position w:val="0"/>
                <w:sz w:val="24"/>
                <w:szCs w:val="24"/>
                <w:highlight w:val="none"/>
                <w:lang w:eastAsia="zh-CN"/>
              </w:rPr>
            </w:pPr>
            <w:r>
              <w:rPr>
                <w:rFonts w:hint="default" w:ascii="仿宋" w:hAnsi="仿宋" w:eastAsia="仿宋" w:cs="仿宋"/>
                <w:i w:val="0"/>
                <w:iCs w:val="0"/>
                <w:color w:val="000000"/>
                <w:kern w:val="0"/>
                <w:sz w:val="24"/>
                <w:szCs w:val="24"/>
                <w:u w:val="none"/>
                <w:lang w:val="en-US" w:eastAsia="zh-CN" w:bidi="ar"/>
              </w:rPr>
              <w:t>预算监督情况</w:t>
            </w:r>
          </w:p>
        </w:tc>
        <w:tc>
          <w:tcPr>
            <w:tcW w:w="2125" w:type="dxa"/>
            <w:tcBorders>
              <w:top w:val="single" w:color="auto" w:sz="4" w:space="0"/>
              <w:left w:val="single" w:color="auto" w:sz="4" w:space="0"/>
            </w:tcBorders>
            <w:shd w:val="clear" w:color="auto" w:fill="FFFFFF"/>
            <w:vAlign w:val="center"/>
          </w:tcPr>
          <w:p>
            <w:pPr>
              <w:keepNext w:val="0"/>
              <w:keepLines w:val="0"/>
              <w:widowControl/>
              <w:suppressLineNumbers w:val="0"/>
              <w:jc w:val="center"/>
              <w:textAlignment w:val="center"/>
              <w:rPr>
                <w:rFonts w:hint="default" w:ascii="仿宋" w:hAnsi="仿宋" w:eastAsia="仿宋" w:cs="仿宋"/>
                <w:color w:val="000000"/>
                <w:spacing w:val="0"/>
                <w:w w:val="100"/>
                <w:position w:val="0"/>
                <w:sz w:val="24"/>
                <w:szCs w:val="24"/>
                <w:highlight w:val="none"/>
                <w:lang w:val="en-US" w:eastAsia="zh-CN"/>
              </w:rPr>
            </w:pPr>
            <w:r>
              <w:rPr>
                <w:rFonts w:hint="default" w:ascii="仿宋" w:hAnsi="仿宋" w:eastAsia="仿宋" w:cs="仿宋"/>
                <w:i w:val="0"/>
                <w:iCs w:val="0"/>
                <w:color w:val="000000"/>
                <w:kern w:val="0"/>
                <w:sz w:val="24"/>
                <w:szCs w:val="24"/>
                <w:u w:val="none"/>
                <w:lang w:val="en-US" w:eastAsia="zh-CN" w:bidi="ar"/>
              </w:rPr>
              <w:t>10</w:t>
            </w:r>
          </w:p>
        </w:tc>
        <w:tc>
          <w:tcPr>
            <w:tcW w:w="2125" w:type="dxa"/>
            <w:tcBorders>
              <w:top w:val="single" w:color="auto" w:sz="4" w:space="0"/>
              <w:left w:val="single" w:color="auto" w:sz="4" w:space="0"/>
            </w:tcBorders>
            <w:shd w:val="clear" w:color="auto" w:fill="FFFFFF"/>
            <w:vAlign w:val="center"/>
          </w:tcPr>
          <w:p>
            <w:pPr>
              <w:keepNext w:val="0"/>
              <w:keepLines w:val="0"/>
              <w:widowControl/>
              <w:suppressLineNumbers w:val="0"/>
              <w:jc w:val="center"/>
              <w:textAlignment w:val="center"/>
              <w:rPr>
                <w:rFonts w:hint="default" w:ascii="仿宋" w:hAnsi="仿宋" w:eastAsia="仿宋" w:cs="仿宋"/>
                <w:sz w:val="24"/>
                <w:szCs w:val="24"/>
                <w:highlight w:val="none"/>
                <w:lang w:val="en-US" w:eastAsia="zh-CN"/>
              </w:rPr>
            </w:pPr>
            <w:r>
              <w:rPr>
                <w:rFonts w:hint="default" w:ascii="仿宋" w:hAnsi="仿宋" w:eastAsia="仿宋" w:cs="仿宋"/>
                <w:i w:val="0"/>
                <w:iCs w:val="0"/>
                <w:color w:val="000000"/>
                <w:kern w:val="0"/>
                <w:sz w:val="24"/>
                <w:szCs w:val="24"/>
                <w:u w:val="none"/>
                <w:lang w:val="en-US" w:eastAsia="zh-CN" w:bidi="ar"/>
              </w:rPr>
              <w:t>9.8</w:t>
            </w:r>
          </w:p>
        </w:tc>
        <w:tc>
          <w:tcPr>
            <w:tcW w:w="2133" w:type="dxa"/>
            <w:tcBorders>
              <w:top w:val="single" w:color="auto" w:sz="4" w:space="0"/>
              <w:left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default" w:ascii="仿宋" w:hAnsi="仿宋" w:eastAsia="仿宋" w:cs="仿宋"/>
                <w:i w:val="0"/>
                <w:iCs w:val="0"/>
                <w:color w:val="000000"/>
                <w:kern w:val="0"/>
                <w:sz w:val="24"/>
                <w:szCs w:val="24"/>
                <w:u w:val="none"/>
                <w:lang w:val="en-US" w:eastAsia="zh-CN" w:bidi="ar"/>
              </w:rPr>
              <w:t>98.00%</w:t>
            </w:r>
          </w:p>
        </w:tc>
      </w:tr>
      <w:tr>
        <w:trPr>
          <w:trHeight w:val="456" w:hRule="exact"/>
          <w:jc w:val="center"/>
        </w:trPr>
        <w:tc>
          <w:tcPr>
            <w:tcW w:w="2136" w:type="dxa"/>
            <w:tcBorders>
              <w:top w:val="single" w:color="auto" w:sz="4" w:space="0"/>
              <w:left w:val="single" w:color="auto"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sz w:val="24"/>
                <w:szCs w:val="24"/>
                <w:highlight w:val="none"/>
                <w:lang w:eastAsia="zh-CN"/>
              </w:rPr>
            </w:pPr>
            <w:r>
              <w:rPr>
                <w:rFonts w:hint="default" w:ascii="仿宋" w:hAnsi="仿宋" w:eastAsia="仿宋" w:cs="仿宋"/>
                <w:i w:val="0"/>
                <w:iCs w:val="0"/>
                <w:color w:val="000000"/>
                <w:kern w:val="0"/>
                <w:sz w:val="24"/>
                <w:szCs w:val="24"/>
                <w:u w:val="none"/>
                <w:lang w:val="en-US" w:eastAsia="zh-CN" w:bidi="ar"/>
              </w:rPr>
              <w:t>预算执行效益</w:t>
            </w:r>
          </w:p>
        </w:tc>
        <w:tc>
          <w:tcPr>
            <w:tcW w:w="2125" w:type="dxa"/>
            <w:tcBorders>
              <w:top w:val="single" w:color="auto" w:sz="4" w:space="0"/>
              <w:left w:val="single" w:color="auto" w:sz="4" w:space="0"/>
            </w:tcBorders>
            <w:shd w:val="clear" w:color="auto" w:fill="FFFFFF"/>
            <w:vAlign w:val="center"/>
          </w:tcPr>
          <w:p>
            <w:pPr>
              <w:keepNext w:val="0"/>
              <w:keepLines w:val="0"/>
              <w:widowControl/>
              <w:suppressLineNumbers w:val="0"/>
              <w:jc w:val="center"/>
              <w:textAlignment w:val="center"/>
              <w:rPr>
                <w:rFonts w:hint="default" w:ascii="仿宋" w:hAnsi="仿宋" w:eastAsia="仿宋" w:cs="仿宋"/>
                <w:sz w:val="24"/>
                <w:szCs w:val="24"/>
                <w:highlight w:val="none"/>
                <w:lang w:val="en-US" w:eastAsia="zh-CN"/>
              </w:rPr>
            </w:pPr>
            <w:r>
              <w:rPr>
                <w:rFonts w:hint="default" w:ascii="仿宋" w:hAnsi="仿宋" w:eastAsia="仿宋" w:cs="仿宋"/>
                <w:i w:val="0"/>
                <w:iCs w:val="0"/>
                <w:color w:val="000000"/>
                <w:kern w:val="0"/>
                <w:sz w:val="24"/>
                <w:szCs w:val="24"/>
                <w:u w:val="none"/>
                <w:lang w:val="en-US" w:eastAsia="zh-CN" w:bidi="ar"/>
              </w:rPr>
              <w:t>30</w:t>
            </w:r>
          </w:p>
        </w:tc>
        <w:tc>
          <w:tcPr>
            <w:tcW w:w="2125" w:type="dxa"/>
            <w:tcBorders>
              <w:top w:val="single" w:color="auto" w:sz="4" w:space="0"/>
              <w:left w:val="single" w:color="auto" w:sz="4" w:space="0"/>
            </w:tcBorders>
            <w:shd w:val="clear" w:color="auto" w:fill="FFFFFF"/>
            <w:vAlign w:val="center"/>
          </w:tcPr>
          <w:p>
            <w:pPr>
              <w:keepNext w:val="0"/>
              <w:keepLines w:val="0"/>
              <w:widowControl/>
              <w:suppressLineNumbers w:val="0"/>
              <w:jc w:val="center"/>
              <w:textAlignment w:val="center"/>
              <w:rPr>
                <w:rFonts w:hint="default" w:ascii="仿宋" w:hAnsi="仿宋" w:eastAsia="仿宋" w:cs="仿宋"/>
                <w:sz w:val="24"/>
                <w:szCs w:val="24"/>
                <w:highlight w:val="none"/>
                <w:lang w:val="en-US" w:eastAsia="zh-CN"/>
              </w:rPr>
            </w:pPr>
            <w:r>
              <w:rPr>
                <w:rFonts w:hint="default" w:ascii="仿宋" w:hAnsi="仿宋" w:eastAsia="仿宋" w:cs="仿宋"/>
                <w:i w:val="0"/>
                <w:iCs w:val="0"/>
                <w:color w:val="000000"/>
                <w:kern w:val="0"/>
                <w:sz w:val="24"/>
                <w:szCs w:val="24"/>
                <w:u w:val="none"/>
                <w:lang w:val="en-US" w:eastAsia="zh-CN" w:bidi="ar"/>
              </w:rPr>
              <w:t>26.31</w:t>
            </w:r>
          </w:p>
        </w:tc>
        <w:tc>
          <w:tcPr>
            <w:tcW w:w="2133" w:type="dxa"/>
            <w:tcBorders>
              <w:top w:val="single" w:color="auto" w:sz="4" w:space="0"/>
              <w:left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sz w:val="24"/>
                <w:szCs w:val="24"/>
                <w:highlight w:val="none"/>
                <w:lang w:val="en-US" w:eastAsia="zh-CN"/>
              </w:rPr>
            </w:pPr>
            <w:r>
              <w:rPr>
                <w:rFonts w:hint="default" w:ascii="仿宋" w:hAnsi="仿宋" w:eastAsia="仿宋" w:cs="仿宋"/>
                <w:i w:val="0"/>
                <w:iCs w:val="0"/>
                <w:color w:val="000000"/>
                <w:kern w:val="0"/>
                <w:sz w:val="24"/>
                <w:szCs w:val="24"/>
                <w:u w:val="none"/>
                <w:lang w:val="en-US" w:eastAsia="zh-CN" w:bidi="ar"/>
              </w:rPr>
              <w:t>87.70%</w:t>
            </w:r>
          </w:p>
        </w:tc>
      </w:tr>
      <w:tr>
        <w:trPr>
          <w:trHeight w:val="475" w:hRule="exact"/>
          <w:jc w:val="center"/>
        </w:trPr>
        <w:tc>
          <w:tcPr>
            <w:tcW w:w="2136" w:type="dxa"/>
            <w:tcBorders>
              <w:top w:val="single" w:color="auto" w:sz="4" w:space="0"/>
              <w:left w:val="single" w:color="auto" w:sz="4" w:space="0"/>
              <w:bottom w:val="single" w:color="auto"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sz w:val="24"/>
                <w:szCs w:val="24"/>
                <w:highlight w:val="none"/>
                <w:lang w:eastAsia="zh-CN"/>
              </w:rPr>
            </w:pPr>
            <w:r>
              <w:rPr>
                <w:rFonts w:hint="default" w:ascii="仿宋" w:hAnsi="仿宋" w:eastAsia="仿宋" w:cs="仿宋"/>
                <w:i w:val="0"/>
                <w:iCs w:val="0"/>
                <w:color w:val="000000"/>
                <w:kern w:val="0"/>
                <w:sz w:val="24"/>
                <w:szCs w:val="24"/>
                <w:u w:val="none"/>
                <w:lang w:val="en-US" w:eastAsia="zh-CN" w:bidi="ar"/>
              </w:rPr>
              <w:t>加减分项</w:t>
            </w:r>
          </w:p>
        </w:tc>
        <w:tc>
          <w:tcPr>
            <w:tcW w:w="2125" w:type="dxa"/>
            <w:tcBorders>
              <w:top w:val="single" w:color="auto" w:sz="4" w:space="0"/>
              <w:left w:val="single" w:color="auto" w:sz="4" w:space="0"/>
              <w:bottom w:val="single" w:color="auto"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sz w:val="24"/>
                <w:szCs w:val="24"/>
                <w:highlight w:val="none"/>
                <w:lang w:val="en-US" w:eastAsia="zh-CN"/>
              </w:rPr>
            </w:pPr>
            <w:r>
              <w:rPr>
                <w:rFonts w:hint="default" w:ascii="仿宋" w:hAnsi="仿宋" w:eastAsia="仿宋" w:cs="仿宋"/>
                <w:i w:val="0"/>
                <w:iCs w:val="0"/>
                <w:color w:val="000000"/>
                <w:kern w:val="0"/>
                <w:sz w:val="24"/>
                <w:szCs w:val="24"/>
                <w:u w:val="none"/>
                <w:lang w:val="en-US" w:eastAsia="zh-CN" w:bidi="ar"/>
              </w:rPr>
              <w:t>0</w:t>
            </w:r>
          </w:p>
        </w:tc>
        <w:tc>
          <w:tcPr>
            <w:tcW w:w="2125" w:type="dxa"/>
            <w:tcBorders>
              <w:top w:val="single" w:color="auto" w:sz="4" w:space="0"/>
              <w:left w:val="single" w:color="auto" w:sz="4" w:space="0"/>
              <w:bottom w:val="single" w:color="auto" w:sz="4" w:space="0"/>
            </w:tcBorders>
            <w:shd w:val="clear" w:color="auto" w:fill="FFFFFF"/>
            <w:vAlign w:val="center"/>
          </w:tcPr>
          <w:p>
            <w:pPr>
              <w:keepNext w:val="0"/>
              <w:keepLines w:val="0"/>
              <w:widowControl/>
              <w:suppressLineNumbers w:val="0"/>
              <w:jc w:val="center"/>
              <w:textAlignment w:val="center"/>
              <w:rPr>
                <w:rFonts w:hint="default" w:ascii="仿宋" w:hAnsi="仿宋" w:eastAsia="仿宋" w:cs="仿宋"/>
                <w:sz w:val="24"/>
                <w:szCs w:val="24"/>
                <w:highlight w:val="none"/>
                <w:lang w:val="en-US" w:eastAsia="zh-CN"/>
              </w:rPr>
            </w:pPr>
            <w:r>
              <w:rPr>
                <w:rFonts w:hint="default" w:ascii="仿宋" w:hAnsi="仿宋" w:eastAsia="仿宋" w:cs="仿宋"/>
                <w:i w:val="0"/>
                <w:iCs w:val="0"/>
                <w:color w:val="000000"/>
                <w:kern w:val="0"/>
                <w:sz w:val="24"/>
                <w:szCs w:val="24"/>
                <w:u w:val="none"/>
                <w:lang w:val="en-US" w:eastAsia="zh-CN" w:bidi="ar"/>
              </w:rPr>
              <w:t>0</w:t>
            </w:r>
          </w:p>
        </w:tc>
        <w:tc>
          <w:tcPr>
            <w:tcW w:w="2133"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default" w:ascii="仿宋" w:hAnsi="仿宋" w:eastAsia="仿宋" w:cs="仿宋"/>
                <w:sz w:val="24"/>
                <w:szCs w:val="24"/>
                <w:highlight w:val="none"/>
                <w:lang w:val="en-US" w:eastAsia="zh-CN"/>
              </w:rPr>
            </w:pPr>
            <w:r>
              <w:rPr>
                <w:rFonts w:hint="default" w:ascii="仿宋" w:hAnsi="仿宋" w:eastAsia="仿宋" w:cs="仿宋"/>
                <w:i w:val="0"/>
                <w:iCs w:val="0"/>
                <w:color w:val="000000"/>
                <w:kern w:val="0"/>
                <w:sz w:val="24"/>
                <w:szCs w:val="24"/>
                <w:u w:val="none"/>
                <w:lang w:val="en-US" w:eastAsia="zh-CN" w:bidi="ar"/>
              </w:rPr>
              <w:t>0.00%</w:t>
            </w:r>
          </w:p>
        </w:tc>
      </w:tr>
      <w:tr>
        <w:trPr>
          <w:trHeight w:val="475" w:hRule="exact"/>
          <w:jc w:val="center"/>
        </w:trPr>
        <w:tc>
          <w:tcPr>
            <w:tcW w:w="2136" w:type="dxa"/>
            <w:tcBorders>
              <w:top w:val="single" w:color="auto" w:sz="4" w:space="0"/>
              <w:left w:val="single" w:color="auto" w:sz="4" w:space="0"/>
              <w:bottom w:val="single" w:color="auto"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color w:val="000000"/>
                <w:spacing w:val="0"/>
                <w:w w:val="100"/>
                <w:position w:val="0"/>
                <w:sz w:val="24"/>
                <w:szCs w:val="24"/>
                <w:highlight w:val="none"/>
              </w:rPr>
            </w:pPr>
            <w:r>
              <w:rPr>
                <w:rFonts w:hint="default" w:ascii="仿宋" w:hAnsi="仿宋" w:eastAsia="仿宋" w:cs="仿宋"/>
                <w:b/>
                <w:bCs/>
                <w:i w:val="0"/>
                <w:iCs w:val="0"/>
                <w:color w:val="000000"/>
                <w:kern w:val="0"/>
                <w:sz w:val="24"/>
                <w:szCs w:val="24"/>
                <w:u w:val="none"/>
                <w:lang w:val="en-US" w:eastAsia="zh-CN" w:bidi="ar"/>
              </w:rPr>
              <w:t>评价总得分</w:t>
            </w:r>
          </w:p>
        </w:tc>
        <w:tc>
          <w:tcPr>
            <w:tcW w:w="2125" w:type="dxa"/>
            <w:tcBorders>
              <w:top w:val="single" w:color="auto" w:sz="4" w:space="0"/>
              <w:left w:val="single" w:color="auto" w:sz="4" w:space="0"/>
              <w:bottom w:val="single" w:color="auto"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color w:val="000000"/>
                <w:spacing w:val="0"/>
                <w:w w:val="100"/>
                <w:position w:val="0"/>
                <w:sz w:val="24"/>
                <w:szCs w:val="24"/>
                <w:highlight w:val="none"/>
              </w:rPr>
            </w:pPr>
            <w:r>
              <w:rPr>
                <w:rFonts w:hint="default" w:ascii="仿宋" w:hAnsi="仿宋" w:eastAsia="仿宋" w:cs="仿宋"/>
                <w:b/>
                <w:bCs/>
                <w:i w:val="0"/>
                <w:iCs w:val="0"/>
                <w:color w:val="000000"/>
                <w:kern w:val="0"/>
                <w:sz w:val="24"/>
                <w:szCs w:val="24"/>
                <w:u w:val="none"/>
                <w:lang w:val="en-US" w:eastAsia="zh-CN" w:bidi="ar"/>
              </w:rPr>
              <w:t>100</w:t>
            </w:r>
          </w:p>
        </w:tc>
        <w:tc>
          <w:tcPr>
            <w:tcW w:w="2125" w:type="dxa"/>
            <w:tcBorders>
              <w:top w:val="single" w:color="auto" w:sz="4" w:space="0"/>
              <w:left w:val="single" w:color="auto" w:sz="4" w:space="0"/>
              <w:bottom w:val="single" w:color="auto" w:sz="4" w:space="0"/>
            </w:tcBorders>
            <w:shd w:val="clear" w:color="auto" w:fill="FFFFFF"/>
            <w:vAlign w:val="center"/>
          </w:tcPr>
          <w:p>
            <w:pPr>
              <w:keepNext w:val="0"/>
              <w:keepLines w:val="0"/>
              <w:widowControl/>
              <w:suppressLineNumbers w:val="0"/>
              <w:jc w:val="center"/>
              <w:textAlignment w:val="center"/>
              <w:rPr>
                <w:rFonts w:hint="default" w:ascii="仿宋" w:hAnsi="仿宋" w:eastAsia="仿宋" w:cs="仿宋"/>
                <w:b/>
                <w:bCs/>
                <w:sz w:val="24"/>
                <w:szCs w:val="24"/>
                <w:highlight w:val="none"/>
                <w:lang w:val="en-US" w:eastAsia="zh-CN"/>
              </w:rPr>
            </w:pPr>
            <w:r>
              <w:rPr>
                <w:rFonts w:hint="default" w:ascii="仿宋" w:hAnsi="仿宋" w:eastAsia="仿宋" w:cs="仿宋"/>
                <w:b/>
                <w:bCs/>
                <w:i w:val="0"/>
                <w:iCs w:val="0"/>
                <w:color w:val="000000"/>
                <w:kern w:val="0"/>
                <w:sz w:val="24"/>
                <w:szCs w:val="24"/>
                <w:u w:val="none"/>
                <w:lang w:val="en-US" w:eastAsia="zh-CN" w:bidi="ar"/>
              </w:rPr>
              <w:t>89.98</w:t>
            </w:r>
          </w:p>
        </w:tc>
        <w:tc>
          <w:tcPr>
            <w:tcW w:w="2133"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sz w:val="24"/>
                <w:szCs w:val="24"/>
                <w:highlight w:val="none"/>
                <w:lang w:val="en-US" w:eastAsia="zh-CN"/>
              </w:rPr>
            </w:pPr>
            <w:r>
              <w:rPr>
                <w:rFonts w:hint="default" w:ascii="仿宋" w:hAnsi="仿宋" w:eastAsia="仿宋" w:cs="仿宋"/>
                <w:b/>
                <w:bCs/>
                <w:i w:val="0"/>
                <w:iCs w:val="0"/>
                <w:color w:val="000000"/>
                <w:kern w:val="0"/>
                <w:sz w:val="24"/>
                <w:szCs w:val="24"/>
                <w:u w:val="none"/>
                <w:lang w:val="en-US" w:eastAsia="zh-CN" w:bidi="ar"/>
              </w:rPr>
              <w:t>89.98%</w:t>
            </w:r>
          </w:p>
        </w:tc>
      </w:tr>
    </w:tbl>
    <w:p>
      <w:pPr>
        <w:pStyle w:val="7"/>
        <w:keepNext w:val="0"/>
        <w:keepLines w:val="0"/>
        <w:pageBreakBefore w:val="0"/>
        <w:numPr>
          <w:ilvl w:val="0"/>
          <w:numId w:val="0"/>
        </w:numPr>
        <w:kinsoku/>
        <w:wordWrap/>
        <w:overflowPunct/>
        <w:topLinePunct w:val="0"/>
        <w:autoSpaceDE/>
        <w:autoSpaceDN/>
        <w:bidi w:val="0"/>
        <w:adjustRightInd/>
        <w:spacing w:before="0" w:beforeAutospacing="0" w:after="0" w:afterAutospacing="0" w:line="560" w:lineRule="exact"/>
        <w:ind w:right="45" w:rightChars="0" w:firstLine="562" w:firstLineChars="200"/>
        <w:contextualSpacing/>
        <w:jc w:val="both"/>
        <w:textAlignment w:val="auto"/>
        <w:outlineLvl w:val="0"/>
        <w:rPr>
          <w:rFonts w:hint="eastAsia" w:ascii="仿宋" w:hAnsi="仿宋" w:eastAsia="仿宋" w:cs="仿宋"/>
          <w:b/>
          <w:color w:val="auto"/>
          <w:kern w:val="2"/>
          <w:sz w:val="28"/>
          <w:szCs w:val="28"/>
          <w:highlight w:val="none"/>
        </w:rPr>
      </w:pPr>
      <w:bookmarkStart w:id="27" w:name="_Toc9575"/>
      <w:bookmarkStart w:id="28" w:name="_Toc3612"/>
      <w:r>
        <w:rPr>
          <w:rFonts w:hint="eastAsia" w:ascii="仿宋" w:hAnsi="仿宋" w:eastAsia="仿宋" w:cs="仿宋"/>
          <w:b/>
          <w:color w:val="auto"/>
          <w:kern w:val="2"/>
          <w:sz w:val="28"/>
          <w:szCs w:val="28"/>
          <w:highlight w:val="none"/>
          <w:lang w:eastAsia="zh-CN"/>
        </w:rPr>
        <w:t>四、</w:t>
      </w:r>
      <w:r>
        <w:rPr>
          <w:rFonts w:hint="eastAsia" w:ascii="仿宋" w:hAnsi="仿宋" w:eastAsia="仿宋" w:cs="仿宋"/>
          <w:b/>
          <w:color w:val="auto"/>
          <w:kern w:val="2"/>
          <w:sz w:val="28"/>
          <w:szCs w:val="28"/>
          <w:highlight w:val="none"/>
        </w:rPr>
        <w:t>存在问题</w:t>
      </w:r>
      <w:bookmarkEnd w:id="27"/>
      <w:r>
        <w:rPr>
          <w:rFonts w:hint="eastAsia" w:ascii="仿宋" w:hAnsi="仿宋" w:eastAsia="仿宋" w:cs="仿宋"/>
          <w:b/>
          <w:color w:val="auto"/>
          <w:kern w:val="2"/>
          <w:sz w:val="28"/>
          <w:szCs w:val="28"/>
          <w:highlight w:val="none"/>
          <w:lang w:eastAsia="zh-CN"/>
        </w:rPr>
        <w:t>及相关建议</w:t>
      </w:r>
      <w:bookmarkEnd w:id="28"/>
      <w:bookmarkStart w:id="29" w:name="一"/>
      <w:bookmarkEnd w:id="29"/>
    </w:p>
    <w:p>
      <w:pPr>
        <w:pStyle w:val="7"/>
        <w:keepNext w:val="0"/>
        <w:keepLines w:val="0"/>
        <w:pageBreakBefore w:val="0"/>
        <w:kinsoku/>
        <w:wordWrap/>
        <w:overflowPunct/>
        <w:topLinePunct w:val="0"/>
        <w:autoSpaceDE/>
        <w:autoSpaceDN/>
        <w:bidi w:val="0"/>
        <w:adjustRightInd/>
        <w:spacing w:before="0" w:beforeAutospacing="0" w:after="0" w:afterAutospacing="0" w:line="560" w:lineRule="exact"/>
        <w:ind w:right="45" w:firstLine="640"/>
        <w:contextualSpacing/>
        <w:jc w:val="both"/>
        <w:textAlignment w:val="auto"/>
        <w:outlineLvl w:val="1"/>
        <w:rPr>
          <w:rFonts w:hint="eastAsia" w:ascii="仿宋" w:hAnsi="仿宋" w:eastAsia="仿宋" w:cs="仿宋"/>
          <w:b w:val="0"/>
          <w:bCs w:val="0"/>
          <w:color w:val="auto"/>
          <w:kern w:val="2"/>
          <w:sz w:val="28"/>
          <w:szCs w:val="28"/>
          <w:highlight w:val="none"/>
        </w:rPr>
      </w:pPr>
      <w:bookmarkStart w:id="30" w:name="_Toc11913"/>
      <w:bookmarkStart w:id="31" w:name="_Toc18552"/>
      <w:r>
        <w:rPr>
          <w:rFonts w:hint="eastAsia" w:ascii="仿宋" w:hAnsi="仿宋" w:eastAsia="仿宋" w:cs="仿宋"/>
          <w:b w:val="0"/>
          <w:bCs w:val="0"/>
          <w:color w:val="auto"/>
          <w:kern w:val="2"/>
          <w:sz w:val="28"/>
          <w:szCs w:val="28"/>
          <w:highlight w:val="none"/>
        </w:rPr>
        <w:t>（一）存在问题</w:t>
      </w:r>
      <w:bookmarkEnd w:id="30"/>
      <w:bookmarkEnd w:id="31"/>
      <w:bookmarkStart w:id="32" w:name="二"/>
      <w:bookmarkEnd w:id="32"/>
    </w:p>
    <w:p>
      <w:pPr>
        <w:pStyle w:val="7"/>
        <w:keepNext w:val="0"/>
        <w:keepLines w:val="0"/>
        <w:pageBreakBefore w:val="0"/>
        <w:kinsoku/>
        <w:wordWrap/>
        <w:overflowPunct/>
        <w:topLinePunct w:val="0"/>
        <w:autoSpaceDE/>
        <w:autoSpaceDN/>
        <w:bidi w:val="0"/>
        <w:adjustRightInd/>
        <w:spacing w:before="0" w:beforeAutospacing="0" w:after="0" w:afterAutospacing="0" w:line="560" w:lineRule="exact"/>
        <w:ind w:right="45" w:firstLine="640"/>
        <w:contextualSpacing/>
        <w:jc w:val="both"/>
        <w:textAlignment w:val="auto"/>
        <w:rPr>
          <w:rFonts w:hint="default" w:ascii="仿宋" w:hAnsi="仿宋" w:eastAsia="仿宋" w:cs="仿宋"/>
          <w:b w:val="0"/>
          <w:bCs w:val="0"/>
          <w:color w:val="auto"/>
          <w:kern w:val="2"/>
          <w:sz w:val="28"/>
          <w:szCs w:val="28"/>
          <w:highlight w:val="none"/>
          <w:lang w:val="en-US" w:eastAsia="zh-CN"/>
        </w:rPr>
      </w:pPr>
      <w:r>
        <w:rPr>
          <w:rFonts w:hint="eastAsia" w:ascii="仿宋" w:hAnsi="仿宋" w:eastAsia="仿宋" w:cs="仿宋"/>
          <w:b w:val="0"/>
          <w:bCs w:val="0"/>
          <w:color w:val="auto"/>
          <w:kern w:val="2"/>
          <w:sz w:val="28"/>
          <w:szCs w:val="28"/>
          <w:highlight w:val="none"/>
          <w:lang w:val="en-US" w:eastAsia="zh-CN"/>
        </w:rPr>
        <w:t>1.项目预算、功能分类和经济分类等预算编制有偏差，收入预决算差异率超50%。</w:t>
      </w:r>
    </w:p>
    <w:p>
      <w:pPr>
        <w:pStyle w:val="7"/>
        <w:keepNext w:val="0"/>
        <w:keepLines w:val="0"/>
        <w:pageBreakBefore w:val="0"/>
        <w:numPr>
          <w:ilvl w:val="0"/>
          <w:numId w:val="0"/>
        </w:numPr>
        <w:kinsoku/>
        <w:wordWrap/>
        <w:overflowPunct/>
        <w:topLinePunct w:val="0"/>
        <w:autoSpaceDE/>
        <w:autoSpaceDN/>
        <w:bidi w:val="0"/>
        <w:adjustRightInd/>
        <w:spacing w:before="0" w:beforeAutospacing="0" w:after="0" w:afterAutospacing="0" w:line="560" w:lineRule="exact"/>
        <w:ind w:right="45" w:rightChars="0" w:firstLine="560" w:firstLineChars="200"/>
        <w:contextualSpacing/>
        <w:jc w:val="both"/>
        <w:textAlignment w:val="auto"/>
        <w:outlineLvl w:val="9"/>
        <w:rPr>
          <w:rFonts w:hint="default" w:ascii="仿宋" w:hAnsi="仿宋" w:eastAsia="仿宋" w:cs="仿宋"/>
          <w:b w:val="0"/>
          <w:bCs w:val="0"/>
          <w:color w:val="auto"/>
          <w:kern w:val="2"/>
          <w:sz w:val="28"/>
          <w:szCs w:val="28"/>
          <w:highlight w:val="none"/>
          <w:lang w:val="en-US" w:eastAsia="zh-CN"/>
        </w:rPr>
      </w:pPr>
      <w:r>
        <w:rPr>
          <w:rFonts w:hint="eastAsia" w:ascii="仿宋" w:hAnsi="仿宋" w:eastAsia="仿宋" w:cs="仿宋"/>
          <w:b w:val="0"/>
          <w:bCs w:val="0"/>
          <w:color w:val="auto"/>
          <w:kern w:val="2"/>
          <w:sz w:val="28"/>
          <w:szCs w:val="28"/>
          <w:highlight w:val="none"/>
          <w:lang w:val="en-US" w:eastAsia="zh-CN"/>
        </w:rPr>
        <w:t>2.自评报告不够严谨，自评数据表中固定资产管理的出租、出借及处置收入上缴表格填写为是，自评报告中关于资产管理方面描述：出租、出借、处置国有固定资产严格按照收支两条线的原则，相关收入按规定及时、足额上缴国库，经查看国有固定资产报表，湛江市土地储备管理中心2022年出租、出借固定资产为 0，不存在出租、出借固定资产，自评材料不够严谨，酌情扣0.1分；出现自评得分与实际有偏差的情形，酌情扣0.1分。</w:t>
      </w:r>
    </w:p>
    <w:p>
      <w:pPr>
        <w:pStyle w:val="7"/>
        <w:keepNext w:val="0"/>
        <w:keepLines w:val="0"/>
        <w:pageBreakBefore w:val="0"/>
        <w:shd w:val="clear"/>
        <w:kinsoku/>
        <w:wordWrap/>
        <w:overflowPunct/>
        <w:topLinePunct w:val="0"/>
        <w:autoSpaceDE/>
        <w:autoSpaceDN/>
        <w:bidi w:val="0"/>
        <w:adjustRightInd/>
        <w:spacing w:before="0" w:beforeAutospacing="0" w:after="0" w:afterAutospacing="0" w:line="560" w:lineRule="exact"/>
        <w:ind w:right="45" w:firstLine="560" w:firstLineChars="200"/>
        <w:contextualSpacing/>
        <w:jc w:val="both"/>
        <w:textAlignment w:val="auto"/>
        <w:outlineLvl w:val="1"/>
        <w:rPr>
          <w:rFonts w:hint="eastAsia" w:ascii="仿宋" w:hAnsi="仿宋" w:eastAsia="仿宋" w:cs="仿宋"/>
          <w:b w:val="0"/>
          <w:bCs/>
          <w:color w:val="auto"/>
          <w:kern w:val="2"/>
          <w:sz w:val="28"/>
          <w:szCs w:val="28"/>
          <w:highlight w:val="none"/>
          <w:lang w:val="en-US" w:eastAsia="zh-CN"/>
        </w:rPr>
      </w:pPr>
      <w:bookmarkStart w:id="33" w:name="_Toc22031"/>
      <w:bookmarkStart w:id="34" w:name="_Toc24779"/>
      <w:r>
        <w:rPr>
          <w:rFonts w:hint="eastAsia" w:ascii="仿宋" w:hAnsi="仿宋" w:eastAsia="仿宋" w:cs="仿宋"/>
          <w:b w:val="0"/>
          <w:bCs/>
          <w:color w:val="auto"/>
          <w:kern w:val="2"/>
          <w:sz w:val="28"/>
          <w:szCs w:val="28"/>
          <w:highlight w:val="none"/>
        </w:rPr>
        <w:t>（二）</w:t>
      </w:r>
      <w:bookmarkEnd w:id="33"/>
      <w:r>
        <w:rPr>
          <w:rFonts w:hint="eastAsia" w:ascii="仿宋" w:hAnsi="仿宋" w:eastAsia="仿宋" w:cs="仿宋"/>
          <w:b w:val="0"/>
          <w:bCs/>
          <w:color w:val="auto"/>
          <w:kern w:val="2"/>
          <w:sz w:val="28"/>
          <w:szCs w:val="28"/>
          <w:highlight w:val="none"/>
          <w:lang w:val="en-US" w:eastAsia="zh-CN"/>
        </w:rPr>
        <w:t>相关建议</w:t>
      </w:r>
      <w:bookmarkEnd w:id="34"/>
    </w:p>
    <w:p>
      <w:pPr>
        <w:pStyle w:val="7"/>
        <w:keepNext w:val="0"/>
        <w:keepLines w:val="0"/>
        <w:pageBreakBefore w:val="0"/>
        <w:shd w:val="clear"/>
        <w:kinsoku/>
        <w:wordWrap/>
        <w:overflowPunct/>
        <w:topLinePunct w:val="0"/>
        <w:autoSpaceDE/>
        <w:autoSpaceDN/>
        <w:bidi w:val="0"/>
        <w:adjustRightInd/>
        <w:spacing w:before="0" w:beforeAutospacing="0" w:after="0" w:afterAutospacing="0" w:line="560" w:lineRule="exact"/>
        <w:ind w:right="45" w:firstLine="560" w:firstLineChars="200"/>
        <w:contextualSpacing/>
        <w:jc w:val="both"/>
        <w:textAlignment w:val="auto"/>
        <w:outlineLvl w:val="1"/>
        <w:rPr>
          <w:rFonts w:hint="default" w:ascii="仿宋" w:hAnsi="仿宋" w:eastAsia="仿宋" w:cs="仿宋"/>
          <w:color w:val="auto"/>
          <w:kern w:val="2"/>
          <w:sz w:val="28"/>
          <w:szCs w:val="28"/>
          <w:highlight w:val="none"/>
          <w:lang w:val="en-US" w:eastAsia="zh-CN"/>
        </w:rPr>
      </w:pPr>
      <w:r>
        <w:rPr>
          <w:rFonts w:hint="eastAsia" w:ascii="仿宋" w:hAnsi="仿宋" w:eastAsia="仿宋" w:cs="仿宋"/>
          <w:color w:val="auto"/>
          <w:kern w:val="2"/>
          <w:sz w:val="28"/>
          <w:szCs w:val="28"/>
          <w:highlight w:val="none"/>
          <w:lang w:val="en-US" w:eastAsia="zh-CN"/>
        </w:rPr>
        <w:t>1.注重绩效目标、评价指标的关联性，更加科学合理地确定部门绩效目标和评价目标。结合实际情况科学预测，使预算编制贴合实际，切实可行，同时预算需要精细化，强化预算目标的的龙头作用。</w:t>
      </w:r>
    </w:p>
    <w:p>
      <w:pPr>
        <w:pStyle w:val="7"/>
        <w:keepNext w:val="0"/>
        <w:keepLines w:val="0"/>
        <w:pageBreakBefore w:val="0"/>
        <w:kinsoku/>
        <w:wordWrap/>
        <w:overflowPunct/>
        <w:topLinePunct w:val="0"/>
        <w:autoSpaceDE/>
        <w:autoSpaceDN/>
        <w:bidi w:val="0"/>
        <w:adjustRightInd/>
        <w:spacing w:before="0" w:beforeAutospacing="0" w:after="0" w:afterAutospacing="0" w:line="560" w:lineRule="exact"/>
        <w:ind w:right="45" w:firstLine="640"/>
        <w:contextualSpacing/>
        <w:jc w:val="both"/>
        <w:textAlignment w:val="auto"/>
        <w:rPr>
          <w:rFonts w:hint="eastAsia" w:ascii="仿宋" w:hAnsi="仿宋" w:eastAsia="仿宋" w:cs="仿宋"/>
          <w:color w:val="auto"/>
          <w:kern w:val="2"/>
          <w:sz w:val="28"/>
          <w:szCs w:val="28"/>
          <w:highlight w:val="none"/>
          <w:lang w:val="en-US" w:eastAsia="zh-CN"/>
        </w:rPr>
      </w:pPr>
      <w:r>
        <w:rPr>
          <w:rFonts w:hint="eastAsia" w:ascii="仿宋" w:hAnsi="仿宋" w:eastAsia="仿宋" w:cs="仿宋"/>
          <w:color w:val="auto"/>
          <w:kern w:val="2"/>
          <w:sz w:val="28"/>
          <w:szCs w:val="28"/>
          <w:highlight w:val="none"/>
          <w:lang w:val="en-US" w:eastAsia="zh-CN"/>
        </w:rPr>
        <w:t>2.加强绩效自评材料的内部审核，提高绩效自评工作质量。</w:t>
      </w:r>
    </w:p>
    <w:p>
      <w:pPr>
        <w:pStyle w:val="7"/>
        <w:keepNext w:val="0"/>
        <w:keepLines w:val="0"/>
        <w:pageBreakBefore w:val="0"/>
        <w:kinsoku/>
        <w:wordWrap/>
        <w:overflowPunct/>
        <w:topLinePunct w:val="0"/>
        <w:autoSpaceDE/>
        <w:autoSpaceDN/>
        <w:bidi w:val="0"/>
        <w:adjustRightInd/>
        <w:spacing w:before="0" w:beforeAutospacing="0" w:after="0" w:afterAutospacing="0" w:line="560" w:lineRule="exact"/>
        <w:ind w:right="45" w:firstLine="640"/>
        <w:contextualSpacing/>
        <w:jc w:val="both"/>
        <w:textAlignment w:val="auto"/>
        <w:rPr>
          <w:rFonts w:hint="default" w:ascii="仿宋" w:hAnsi="仿宋" w:eastAsia="仿宋" w:cs="仿宋"/>
          <w:color w:val="auto"/>
          <w:kern w:val="2"/>
          <w:sz w:val="28"/>
          <w:szCs w:val="28"/>
          <w:highlight w:val="none"/>
          <w:lang w:val="en-US" w:eastAsia="zh-CN"/>
        </w:rPr>
      </w:pPr>
    </w:p>
    <w:p>
      <w:pPr>
        <w:pStyle w:val="7"/>
        <w:keepNext w:val="0"/>
        <w:keepLines w:val="0"/>
        <w:pageBreakBefore w:val="0"/>
        <w:kinsoku/>
        <w:wordWrap/>
        <w:overflowPunct/>
        <w:topLinePunct w:val="0"/>
        <w:autoSpaceDE/>
        <w:autoSpaceDN/>
        <w:bidi w:val="0"/>
        <w:adjustRightInd/>
        <w:spacing w:before="0" w:beforeAutospacing="0" w:after="0" w:afterAutospacing="0" w:line="560" w:lineRule="exact"/>
        <w:ind w:right="45" w:firstLine="562" w:firstLineChars="200"/>
        <w:contextualSpacing/>
        <w:jc w:val="both"/>
        <w:textAlignment w:val="auto"/>
        <w:outlineLvl w:val="0"/>
        <w:rPr>
          <w:rFonts w:hint="eastAsia" w:ascii="仿宋" w:hAnsi="仿宋" w:eastAsia="仿宋" w:cs="仿宋"/>
          <w:color w:val="auto"/>
          <w:kern w:val="2"/>
          <w:sz w:val="28"/>
          <w:szCs w:val="28"/>
          <w:highlight w:val="none"/>
          <w:lang w:eastAsia="zh-CN"/>
        </w:rPr>
      </w:pPr>
      <w:bookmarkStart w:id="35" w:name="_Toc1386"/>
      <w:bookmarkStart w:id="36" w:name="_Toc7568"/>
      <w:r>
        <w:rPr>
          <w:rFonts w:hint="eastAsia" w:ascii="仿宋" w:hAnsi="仿宋" w:eastAsia="仿宋" w:cs="仿宋"/>
          <w:b/>
          <w:bCs/>
          <w:kern w:val="2"/>
          <w:sz w:val="28"/>
          <w:szCs w:val="28"/>
          <w:highlight w:val="none"/>
        </w:rPr>
        <w:t>附件：</w:t>
      </w:r>
      <w:bookmarkEnd w:id="35"/>
      <w:r>
        <w:rPr>
          <w:rFonts w:hint="eastAsia" w:ascii="仿宋" w:hAnsi="仿宋" w:eastAsia="仿宋" w:cs="仿宋"/>
          <w:b/>
          <w:bCs/>
          <w:kern w:val="2"/>
          <w:sz w:val="28"/>
          <w:szCs w:val="28"/>
          <w:highlight w:val="none"/>
          <w:lang w:val="en-US" w:eastAsia="zh-CN"/>
        </w:rPr>
        <w:t>湛江市土地储备管理中心2022年部门整体支出绩效指标评分表</w:t>
      </w:r>
      <w:bookmarkEnd w:id="36"/>
    </w:p>
    <w:p>
      <w:pPr>
        <w:pStyle w:val="7"/>
        <w:keepNext w:val="0"/>
        <w:keepLines w:val="0"/>
        <w:pageBreakBefore w:val="0"/>
        <w:kinsoku/>
        <w:wordWrap/>
        <w:overflowPunct/>
        <w:topLinePunct w:val="0"/>
        <w:autoSpaceDE/>
        <w:autoSpaceDN/>
        <w:bidi w:val="0"/>
        <w:adjustRightInd/>
        <w:spacing w:before="0" w:beforeAutospacing="0" w:after="0" w:afterAutospacing="0" w:line="560" w:lineRule="exact"/>
        <w:ind w:right="45" w:firstLine="4200" w:firstLineChars="1500"/>
        <w:contextualSpacing/>
        <w:jc w:val="both"/>
        <w:textAlignment w:val="auto"/>
        <w:rPr>
          <w:rFonts w:hint="eastAsia" w:ascii="仿宋" w:hAnsi="仿宋" w:eastAsia="仿宋" w:cs="仿宋"/>
          <w:color w:val="auto"/>
          <w:kern w:val="2"/>
          <w:sz w:val="28"/>
          <w:szCs w:val="28"/>
          <w:highlight w:val="none"/>
          <w:lang w:eastAsia="zh-CN"/>
        </w:rPr>
      </w:pPr>
    </w:p>
    <w:p>
      <w:pPr>
        <w:pStyle w:val="7"/>
        <w:keepNext w:val="0"/>
        <w:keepLines w:val="0"/>
        <w:pageBreakBefore w:val="0"/>
        <w:kinsoku/>
        <w:wordWrap/>
        <w:overflowPunct/>
        <w:topLinePunct w:val="0"/>
        <w:autoSpaceDE/>
        <w:autoSpaceDN/>
        <w:bidi w:val="0"/>
        <w:adjustRightInd/>
        <w:spacing w:before="0" w:beforeAutospacing="0" w:after="0" w:afterAutospacing="0" w:line="560" w:lineRule="exact"/>
        <w:ind w:right="45"/>
        <w:contextualSpacing/>
        <w:jc w:val="both"/>
        <w:textAlignment w:val="auto"/>
        <w:rPr>
          <w:rFonts w:hint="eastAsia" w:ascii="仿宋" w:hAnsi="仿宋" w:eastAsia="仿宋" w:cs="仿宋"/>
          <w:color w:val="auto"/>
          <w:kern w:val="2"/>
          <w:sz w:val="28"/>
          <w:szCs w:val="28"/>
          <w:highlight w:val="none"/>
          <w:lang w:val="en-US" w:eastAsia="zh-CN"/>
        </w:rPr>
      </w:pPr>
      <w:r>
        <w:rPr>
          <w:rFonts w:hint="eastAsia" w:ascii="仿宋" w:hAnsi="仿宋" w:eastAsia="仿宋" w:cs="仿宋"/>
          <w:color w:val="auto"/>
          <w:kern w:val="2"/>
          <w:sz w:val="28"/>
          <w:szCs w:val="28"/>
          <w:highlight w:val="none"/>
          <w:lang w:eastAsia="zh-CN"/>
        </w:rPr>
        <w:t>广东诚安信会计师事务所（</w:t>
      </w:r>
      <w:r>
        <w:rPr>
          <w:rFonts w:hint="eastAsia" w:ascii="仿宋" w:hAnsi="仿宋" w:eastAsia="仿宋" w:cs="仿宋"/>
          <w:color w:val="auto"/>
          <w:kern w:val="2"/>
          <w:sz w:val="28"/>
          <w:szCs w:val="28"/>
          <w:highlight w:val="none"/>
          <w:lang w:val="en-US" w:eastAsia="zh-CN"/>
        </w:rPr>
        <w:t>特殊普通合伙）</w:t>
      </w:r>
    </w:p>
    <w:p>
      <w:pPr>
        <w:pStyle w:val="7"/>
        <w:keepNext w:val="0"/>
        <w:keepLines w:val="0"/>
        <w:pageBreakBefore w:val="0"/>
        <w:kinsoku/>
        <w:wordWrap/>
        <w:overflowPunct/>
        <w:topLinePunct w:val="0"/>
        <w:autoSpaceDE/>
        <w:autoSpaceDN/>
        <w:bidi w:val="0"/>
        <w:adjustRightInd/>
        <w:spacing w:before="0" w:beforeAutospacing="0" w:after="0" w:afterAutospacing="0" w:line="560" w:lineRule="exact"/>
        <w:ind w:right="45"/>
        <w:contextualSpacing/>
        <w:jc w:val="both"/>
        <w:textAlignment w:val="auto"/>
        <w:rPr>
          <w:rFonts w:hint="eastAsia" w:ascii="仿宋" w:hAnsi="仿宋" w:eastAsia="仿宋" w:cs="仿宋"/>
          <w:color w:val="auto"/>
          <w:kern w:val="2"/>
          <w:sz w:val="28"/>
          <w:szCs w:val="28"/>
          <w:highlight w:val="none"/>
          <w:lang w:val="en-US" w:eastAsia="zh-CN"/>
        </w:rPr>
      </w:pPr>
    </w:p>
    <w:p>
      <w:pPr>
        <w:pStyle w:val="7"/>
        <w:keepNext w:val="0"/>
        <w:keepLines w:val="0"/>
        <w:pageBreakBefore w:val="0"/>
        <w:kinsoku/>
        <w:wordWrap/>
        <w:overflowPunct/>
        <w:topLinePunct w:val="0"/>
        <w:autoSpaceDE/>
        <w:autoSpaceDN/>
        <w:bidi w:val="0"/>
        <w:adjustRightInd/>
        <w:spacing w:before="0" w:beforeAutospacing="0" w:after="0" w:afterAutospacing="0" w:line="560" w:lineRule="exact"/>
        <w:ind w:right="45" w:firstLine="1400" w:firstLineChars="500"/>
        <w:contextualSpacing/>
        <w:jc w:val="both"/>
        <w:textAlignment w:val="auto"/>
        <w:rPr>
          <w:rFonts w:hint="default" w:ascii="仿宋" w:hAnsi="仿宋" w:eastAsia="仿宋" w:cs="仿宋"/>
          <w:color w:val="auto"/>
          <w:kern w:val="2"/>
          <w:sz w:val="28"/>
          <w:szCs w:val="28"/>
          <w:highlight w:val="none"/>
          <w:lang w:val="en-US" w:eastAsia="zh-CN"/>
        </w:rPr>
      </w:pPr>
      <w:r>
        <w:rPr>
          <w:rFonts w:hint="eastAsia" w:ascii="仿宋" w:hAnsi="仿宋" w:eastAsia="仿宋" w:cs="仿宋"/>
          <w:color w:val="auto"/>
          <w:kern w:val="2"/>
          <w:sz w:val="28"/>
          <w:szCs w:val="28"/>
          <w:highlight w:val="none"/>
          <w:lang w:val="en-US" w:eastAsia="zh-CN"/>
        </w:rPr>
        <w:t>中国</w:t>
      </w:r>
      <w:r>
        <w:rPr>
          <w:rFonts w:hint="eastAsia" w:ascii="微软雅黑" w:hAnsi="微软雅黑" w:eastAsia="微软雅黑" w:cs="微软雅黑"/>
          <w:color w:val="auto"/>
          <w:kern w:val="2"/>
          <w:sz w:val="28"/>
          <w:szCs w:val="28"/>
          <w:highlight w:val="none"/>
          <w:lang w:val="en-US" w:eastAsia="zh-CN"/>
        </w:rPr>
        <w:t>·</w:t>
      </w:r>
      <w:r>
        <w:rPr>
          <w:rFonts w:hint="eastAsia" w:ascii="仿宋" w:hAnsi="仿宋" w:eastAsia="仿宋" w:cs="仿宋"/>
          <w:color w:val="auto"/>
          <w:kern w:val="2"/>
          <w:sz w:val="28"/>
          <w:szCs w:val="28"/>
          <w:highlight w:val="none"/>
          <w:lang w:val="en-US" w:eastAsia="zh-CN"/>
        </w:rPr>
        <w:t>广州市</w:t>
      </w:r>
    </w:p>
    <w:p>
      <w:pPr>
        <w:keepNext w:val="0"/>
        <w:keepLines w:val="0"/>
        <w:pageBreakBefore w:val="0"/>
        <w:numPr>
          <w:ilvl w:val="0"/>
          <w:numId w:val="0"/>
        </w:numPr>
        <w:kinsoku/>
        <w:wordWrap/>
        <w:overflowPunct/>
        <w:topLinePunct w:val="0"/>
        <w:autoSpaceDE/>
        <w:autoSpaceDN/>
        <w:bidi w:val="0"/>
        <w:adjustRightInd/>
        <w:spacing w:line="560" w:lineRule="exact"/>
        <w:jc w:val="center"/>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 xml:space="preserve">                                       2023年9月22日</w:t>
      </w:r>
    </w:p>
    <w:p/>
    <w:sectPr>
      <w:footerReference r:id="rId5" w:type="default"/>
      <w:pgSz w:w="11906" w:h="16838"/>
      <w:pgMar w:top="1134" w:right="1701" w:bottom="1361" w:left="1701"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EF" w:usb1="C0007841" w:usb2="00000009" w:usb3="00000000" w:csb0="400001FF" w:csb1="FFFF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auto"/>
    <w:pitch w:val="default"/>
    <w:sig w:usb0="00000000" w:usb1="00000000" w:usb2="00000016" w:usb3="00000000" w:csb0="00040001" w:csb1="00000000"/>
  </w:font>
  <w:font w:name="方正小标宋简体">
    <w:altName w:val="汉仪书宋二KW"/>
    <w:panose1 w:val="02000000000000000000"/>
    <w:charset w:val="86"/>
    <w:family w:val="script"/>
    <w:pitch w:val="default"/>
    <w:sig w:usb0="00000000" w:usb1="00000000" w:usb2="00000000" w:usb3="00000000" w:csb0="00000000" w:csb1="00000000"/>
  </w:font>
  <w:font w:name="仿宋_GB2312">
    <w:altName w:val="方正仿宋_GBK"/>
    <w:panose1 w:val="02010609030101010101"/>
    <w:charset w:val="86"/>
    <w:family w:val="modern"/>
    <w:pitch w:val="default"/>
    <w:sig w:usb0="00000000" w:usb1="00000000" w:usb2="00000000" w:usb3="00000000" w:csb0="00040000" w:csb1="00000000"/>
  </w:font>
  <w:font w:name="隶书">
    <w:altName w:val="报隶-简"/>
    <w:panose1 w:val="02010509060101010101"/>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altName w:val="汉仪旗黑"/>
    <w:panose1 w:val="020B0503020204020204"/>
    <w:charset w:val="86"/>
    <w:family w:val="auto"/>
    <w:pitch w:val="default"/>
    <w:sig w:usb0="00000000" w:usb1="00000000" w:usb2="00000016" w:usb3="00000000" w:csb0="0004001F"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冬青黑体简体中文">
    <w:panose1 w:val="020B0300000000000000"/>
    <w:charset w:val="86"/>
    <w:family w:val="auto"/>
    <w:pitch w:val="default"/>
    <w:sig w:usb0="A00002BF" w:usb1="1ACF7CFA" w:usb2="00000016" w:usb3="00000000" w:csb0="00060007" w:csb1="00000000"/>
  </w:font>
  <w:font w:name="汉仪中黑KW">
    <w:panose1 w:val="00020600040101010101"/>
    <w:charset w:val="86"/>
    <w:family w:val="auto"/>
    <w:pitch w:val="default"/>
    <w:sig w:usb0="A00002BF" w:usb1="18EF7CFA" w:usb2="00000016" w:usb3="00000000" w:csb0="00040000" w:csb1="00000000"/>
  </w:font>
  <w:font w:name="汉仪旗黑">
    <w:panose1 w:val="00020600040101010101"/>
    <w:charset w:val="86"/>
    <w:family w:val="auto"/>
    <w:pitch w:val="default"/>
    <w:sig w:usb0="A00002BF" w:usb1="1ACF7CFA" w:usb2="00000016" w:usb3="00000000" w:csb0="0004009F" w:csb1="DFD70000"/>
  </w:font>
  <w:font w:name="Kingsoft Sign">
    <w:panose1 w:val="05050102010706020507"/>
    <w:charset w:val="00"/>
    <w:family w:val="auto"/>
    <w:pitch w:val="default"/>
    <w:sig w:usb0="00000000" w:usb1="10000000" w:usb2="00000000" w:usb3="00000000" w:csb0="00000001" w:csb1="00000000"/>
  </w:font>
  <w:font w:name="报隶-简">
    <w:panose1 w:val="02010600040101010101"/>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hint="eastAsia"/>
        <w:lang w:val="en-US" w:eastAsia="zh-CN"/>
      </w:rPr>
    </w:pPr>
  </w:p>
  <w:p>
    <w:pPr>
      <w:pStyle w:val="4"/>
      <w:jc w:val="center"/>
      <w:rPr>
        <w:rFonts w:hint="eastAsia"/>
        <w:lang w:val="en-US"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hint="eastAsia"/>
        <w:lang w:val="en-US" w:eastAsia="zh-CN"/>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s0lY7tAAAAAFAQAADwAAAAAAAAABACAAAAA4AAAA&#10;ZHJzL2Rvd25yZXYueG1sUEsBAhQAFAAAAAgAh07iQLqMOCsyAgAAYQQAAA4AAAAAAAAAAQAgAAAA&#10;NQEAAGRycy9lMm9Eb2MueG1sUEsFBgAAAAAGAAYAWQEAANkFA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mc:Fallback>
      </mc:AlternateContent>
    </w:r>
  </w:p>
  <w:p>
    <w:pPr>
      <w:pStyle w:val="4"/>
      <w:jc w:val="center"/>
      <w:rPr>
        <w:rFonts w:hint="eastAsia"/>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QxNGM3ZTg4YWYyYzI2ZGFmYTc4NDVjNTM5MDQyMGYifQ=="/>
  </w:docVars>
  <w:rsids>
    <w:rsidRoot w:val="0FDF4A9B"/>
    <w:rsid w:val="0FDF4A9B"/>
    <w:rsid w:val="49601CF1"/>
    <w:rsid w:val="55CF1CB7"/>
    <w:rsid w:val="67990A8F"/>
    <w:rsid w:val="6FFD7A48"/>
    <w:rsid w:val="FFBEEF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styleId="2">
    <w:name w:val="Body Text First Indent 2"/>
    <w:basedOn w:val="3"/>
    <w:unhideWhenUsed/>
    <w:qFormat/>
    <w:uiPriority w:val="99"/>
    <w:pPr>
      <w:ind w:firstLine="420" w:firstLineChars="200"/>
    </w:pPr>
    <w:rPr>
      <w:rFonts w:ascii="Calibri" w:hAnsi="Calibri" w:eastAsia="宋体" w:cs="Times New Roman"/>
      <w:sz w:val="21"/>
    </w:rPr>
  </w:style>
  <w:style w:type="paragraph" w:styleId="3">
    <w:name w:val="Body Text Indent"/>
    <w:basedOn w:val="1"/>
    <w:unhideWhenUsed/>
    <w:qFormat/>
    <w:uiPriority w:val="99"/>
    <w:pPr>
      <w:spacing w:after="120"/>
      <w:ind w:left="420" w:leftChars="200"/>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toc 1"/>
    <w:basedOn w:val="1"/>
    <w:next w:val="1"/>
    <w:unhideWhenUsed/>
    <w:qFormat/>
    <w:uiPriority w:val="39"/>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rPr>
  </w:style>
  <w:style w:type="paragraph" w:customStyle="1" w:styleId="10">
    <w:name w:val="_Style 1"/>
    <w:basedOn w:val="1"/>
    <w:qFormat/>
    <w:uiPriority w:val="0"/>
    <w:pPr>
      <w:ind w:firstLine="420" w:firstLineChars="200"/>
    </w:pPr>
  </w:style>
  <w:style w:type="paragraph" w:customStyle="1" w:styleId="11">
    <w:name w:val="WPSOffice手动目录 1"/>
    <w:qFormat/>
    <w:uiPriority w:val="0"/>
    <w:pPr>
      <w:ind w:leftChars="0"/>
    </w:pPr>
    <w:rPr>
      <w:rFonts w:ascii="Times New Roman" w:hAnsi="Times New Roman" w:eastAsia="宋体" w:cs="Times New Roman"/>
      <w:sz w:val="20"/>
      <w:szCs w:val="20"/>
    </w:rPr>
  </w:style>
  <w:style w:type="paragraph" w:customStyle="1" w:styleId="12">
    <w:name w:val="WPSOffice手动目录 2"/>
    <w:qFormat/>
    <w:uiPriority w:val="0"/>
    <w:pPr>
      <w:ind w:leftChars="200"/>
    </w:pPr>
    <w:rPr>
      <w:rFonts w:ascii="Times New Roman" w:hAnsi="Times New Roman" w:eastAsia="宋体" w:cs="Times New Roman"/>
      <w:sz w:val="20"/>
      <w:szCs w:val="20"/>
    </w:rPr>
  </w:style>
  <w:style w:type="paragraph" w:customStyle="1" w:styleId="13">
    <w:name w:val="Other|1"/>
    <w:basedOn w:val="1"/>
    <w:qFormat/>
    <w:uiPriority w:val="0"/>
    <w:pPr>
      <w:widowControl w:val="0"/>
      <w:shd w:val="clear" w:color="auto" w:fill="auto"/>
      <w:spacing w:after="420" w:line="480" w:lineRule="auto"/>
      <w:ind w:firstLine="400"/>
    </w:pPr>
    <w:rPr>
      <w:rFonts w:ascii="宋体" w:hAnsi="宋体" w:eastAsia="宋体" w:cs="宋体"/>
      <w:sz w:val="26"/>
      <w:szCs w:val="26"/>
      <w:u w:val="none"/>
      <w:shd w:val="clear" w:color="auto" w:fill="auto"/>
      <w:lang w:val="zh-TW" w:eastAsia="zh-TW" w:bidi="zh-TW"/>
    </w:rPr>
  </w:style>
  <w:style w:type="character" w:customStyle="1" w:styleId="14">
    <w:name w:val="font51"/>
    <w:basedOn w:val="9"/>
    <w:uiPriority w:val="0"/>
    <w:rPr>
      <w:rFonts w:hint="default" w:ascii="仿宋" w:hAnsi="仿宋" w:eastAsia="仿宋" w:cs="仿宋"/>
      <w:b/>
      <w:bCs/>
      <w:color w:val="000000"/>
      <w:sz w:val="24"/>
      <w:szCs w:val="24"/>
      <w:u w:val="none"/>
    </w:rPr>
  </w:style>
  <w:style w:type="character" w:customStyle="1" w:styleId="15">
    <w:name w:val="font61"/>
    <w:basedOn w:val="9"/>
    <w:uiPriority w:val="0"/>
    <w:rPr>
      <w:rFonts w:hint="default" w:ascii="仿宋" w:hAnsi="仿宋" w:eastAsia="仿宋" w:cs="仿宋"/>
      <w:color w:val="000000"/>
      <w:sz w:val="24"/>
      <w:szCs w:val="24"/>
      <w:u w:val="none"/>
    </w:rPr>
  </w:style>
  <w:style w:type="character" w:customStyle="1" w:styleId="16">
    <w:name w:val="页码1"/>
    <w:basedOn w:val="9"/>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Office_6.2.2.8394_F1E327BC-269C-435d-A152-05C5408002CA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2023-10-18T09:30:00Z</dcterms:created>
  <dc:creator>陈文霞</dc:creator>
  <cp:lastModifiedBy>陈文霞</cp:lastModifiedBy>
  <dcterms:modified xsi:type="dcterms:W3CDTF">2023-11-03T10:07:37Z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2052-6.2.2.8394</vt:lpwstr>
  </property>
  <property fmtid="{D5CDD505-2E9C-101B-9397-08002B2CF9AE}" pid="3" name="ICV">
    <vt:lpwstr>5AE96BDA162565222F542E65D54E7D62_41</vt:lpwstr>
  </property>
</Properties>
</file>