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CESI黑体-GB2312" w:hAnsi="CESI黑体-GB2312" w:eastAsia="CESI黑体-GB2312" w:cs="CESI黑体-GB2312"/>
          <w:sz w:val="32"/>
          <w:szCs w:val="32"/>
          <w:lang w:eastAsia="zh-CN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  <w:lang w:eastAsia="zh-CN"/>
        </w:rPr>
        <w:t>附件</w:t>
      </w:r>
    </w:p>
    <w:p>
      <w:pPr>
        <w:rPr>
          <w:rFonts w:hint="eastAsia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公平竞争审查初步结论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根据《国务院关于在市场体系建设中建立公平竞争审查制度的意见》（国发</w:t>
      </w: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〔2016〕34号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）和《广东省公平竞争审查制度实施办法（暂行）》规定，我局对《湛江市商贸流通企业商务信用等级评价实施方案（试行）</w:t>
      </w:r>
      <w:bookmarkStart w:id="0" w:name="_GoBack"/>
      <w:bookmarkEnd w:id="0"/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》进行了公平竞争审查，经审查，认为不具有排除、限制竞争效果。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</w:pPr>
    </w:p>
    <w:p>
      <w:pPr>
        <w:jc w:val="right"/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湛江市商务局</w:t>
      </w:r>
    </w:p>
    <w:p>
      <w:pPr>
        <w:jc w:val="right"/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202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4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年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6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月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5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BD72A2"/>
    <w:rsid w:val="4DFFB2BF"/>
    <w:rsid w:val="7FFEB7D7"/>
    <w:rsid w:val="962DB1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2023-11-21T01:44:00Z</dcterms:created>
  <dc:creator>uos</dc:creator>
  <cp:lastModifiedBy>李剑鹏</cp:lastModifiedBy>
  <cp:lastPrinted>2023-11-21T01:51:00Z</cp:lastPrinted>
  <dcterms:modified xsi:type="dcterms:W3CDTF">2024-06-06T10:08:23Z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B971A527136104EE33BF5A65CDD4D75D</vt:lpwstr>
  </property>
</Properties>
</file>