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8"/>
        <w:gridCol w:w="1874"/>
        <w:gridCol w:w="1874"/>
        <w:gridCol w:w="1874"/>
        <w:gridCol w:w="1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39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财政拨款安排的行政经费及“三公”经费预算表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单位名称：湛江市医疗保障局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   目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一般公共预算</w:t>
            </w:r>
          </w:p>
        </w:tc>
        <w:tc>
          <w:tcPr>
            <w:tcW w:w="18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政府性基金预算</w:t>
            </w:r>
          </w:p>
        </w:tc>
        <w:tc>
          <w:tcPr>
            <w:tcW w:w="1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国有资本经营预算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行政经费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120.03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120.03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“三公”经费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3.77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3.77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其中：（一）因公出国（境）支出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（二）公务用车购置及运行维护支出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       1.公务用车购置费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       2.公务用车运行维护费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         （三）公务接待费支出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3.77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3.77</w:t>
            </w:r>
          </w:p>
        </w:tc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4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注：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39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一、行政经费是指用于维持行政（参公）单位机关运行的经费。具体包括：办公费、印刷费、水费、电费、邮电费、取暖费、物业管理费、差旅费、因公出国（境）费用、维修（护）费、租赁费、会议费、培训费、公务接待费、专用材料费、被装购置费、福利费、公务用车运行维护费、其他交通费用、医疗费补助、办公设备购置、专用设备购置、信息网络及软件购置更新、公务用车购置、其他交通工具购置经济科目对应的预算资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39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二、“三公”经费包括因公出国（境）经费、公务用车购置及运行维护费和公务接待费。其中：因公出国（境）经费指省直行政单位、事业单位工作人员公务出国（境）的住宿费、差旅费、伙食补助费、杂费、培训费等支出；公务用车购置及运行维护费指省直行政单位、事业单位公务用车购置费、公务用车租用费、燃料费、维修费、过桥过路费、保险费等支出；公务接待费指省直行政单位、事业单位按规定开支的各类公务接待（外宾接待）费用。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525252"/>
          <w:spacing w:val="1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525252"/>
          <w:spacing w:val="15"/>
          <w:kern w:val="0"/>
          <w:sz w:val="24"/>
          <w:szCs w:val="24"/>
          <w:bdr w:val="none" w:color="auto" w:sz="0" w:space="0"/>
          <w:lang w:val="en-US" w:eastAsia="zh-CN" w:bidi="ar"/>
        </w:rPr>
        <w:t>“三公”经费安排情况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25252"/>
          <w:spacing w:val="15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25252"/>
          <w:spacing w:val="15"/>
          <w:kern w:val="0"/>
          <w:sz w:val="24"/>
          <w:szCs w:val="24"/>
          <w:bdr w:val="none" w:color="auto" w:sz="0" w:space="0"/>
          <w:lang w:val="en-US" w:eastAsia="zh-CN" w:bidi="ar"/>
        </w:rPr>
        <w:t>2024年本部门财政拨款安排“三公”经费3.77万元，比上年增加2.87万元，增长318.89%，主要原因是2024年任务多，预计接待费用比上年增加。其中：因公出国（境）费0万元，比上年增加0万元，增长--（基数为0，不可比），主要原因是与上年持平，无增减变化；公务用车购置及运行维护费0万元（公务用车购置费0万元，比上年增加0万元；公务用车运行维护费0万元，比上年增加0万元。）比上年增加0万元，增长--（基数为0，不可比），主要原因是与上年持平，无增减变化；公务接待费3.77万元，比上年增加2.87万元，增长318.89%，主要原因是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525252"/>
          <w:spacing w:val="15"/>
          <w:kern w:val="0"/>
          <w:sz w:val="24"/>
          <w:szCs w:val="24"/>
          <w:bdr w:val="none" w:color="auto" w:sz="0" w:space="0"/>
          <w:lang w:val="en-US" w:eastAsia="zh-CN" w:bidi="ar"/>
        </w:rPr>
        <w:t>2024年任务多，预计接待费用比上年增加。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mYjVhMTYzZWMyYmM5NzY5YTI0MDBhNDU3ZjQ3YTQifQ=="/>
  </w:docVars>
  <w:rsids>
    <w:rsidRoot w:val="59C813E6"/>
    <w:rsid w:val="59C8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2024-07-12T09:03:00Z</dcterms:created>
  <dc:creator>WPS_1714959897</dc:creator>
  <cp:lastModifiedBy>WPS_1714959897</cp:lastModifiedBy>
  <dcterms:modified xsi:type="dcterms:W3CDTF">2024-07-12T09:07:12Z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B649094D19054CF7B63F4AC184902790_11</vt:lpwstr>
  </property>
</Properties>
</file>