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00771">
      <w:pPr>
        <w:pStyle w:val="2"/>
        <w:spacing w:after="0" w:line="570" w:lineRule="exact"/>
        <w:rPr>
          <w:rFonts w:hint="eastAsia" w:eastAsia="黑体"/>
          <w:sz w:val="32"/>
          <w:szCs w:val="32"/>
        </w:rPr>
      </w:pPr>
      <w:r>
        <w:rPr>
          <w:rFonts w:eastAsia="黑体"/>
          <w:sz w:val="32"/>
          <w:szCs w:val="32"/>
        </w:rPr>
        <w:t>附件</w:t>
      </w:r>
      <w:bookmarkStart w:id="0" w:name="_GoBack"/>
      <w:bookmarkEnd w:id="0"/>
    </w:p>
    <w:p w14:paraId="7B92C834">
      <w:pPr>
        <w:spacing w:line="570" w:lineRule="exact"/>
        <w:jc w:val="center"/>
        <w:rPr>
          <w:rFonts w:eastAsia="方正小标宋简体"/>
          <w:b w:val="0"/>
          <w:sz w:val="44"/>
          <w:szCs w:val="44"/>
        </w:rPr>
      </w:pPr>
      <w:r>
        <w:rPr>
          <w:rFonts w:eastAsia="方正小标宋简体"/>
          <w:b w:val="0"/>
          <w:sz w:val="44"/>
          <w:szCs w:val="44"/>
        </w:rPr>
        <w:t>湛江市“十四五”学前教育发展</w:t>
      </w:r>
    </w:p>
    <w:p w14:paraId="4A624A83">
      <w:pPr>
        <w:spacing w:line="570" w:lineRule="exact"/>
        <w:jc w:val="center"/>
        <w:rPr>
          <w:rFonts w:eastAsia="方正小标宋简体"/>
          <w:b/>
          <w:sz w:val="44"/>
          <w:szCs w:val="44"/>
        </w:rPr>
      </w:pPr>
      <w:r>
        <w:rPr>
          <w:rFonts w:eastAsia="方正小标宋简体"/>
          <w:b w:val="0"/>
          <w:sz w:val="44"/>
          <w:szCs w:val="44"/>
        </w:rPr>
        <w:t>提升行动计划</w:t>
      </w:r>
    </w:p>
    <w:p w14:paraId="2F008140">
      <w:pPr>
        <w:spacing w:line="570" w:lineRule="exact"/>
        <w:jc w:val="center"/>
        <w:rPr>
          <w:rFonts w:eastAsia="楷体_GB2312"/>
          <w:sz w:val="32"/>
          <w:szCs w:val="32"/>
        </w:rPr>
      </w:pPr>
      <w:r>
        <w:rPr>
          <w:rFonts w:eastAsia="楷体_GB2312"/>
          <w:sz w:val="32"/>
          <w:szCs w:val="32"/>
        </w:rPr>
        <w:t>（征求意见稿）</w:t>
      </w:r>
    </w:p>
    <w:p w14:paraId="7CB8F670">
      <w:pPr>
        <w:spacing w:line="570" w:lineRule="exact"/>
        <w:ind w:firstLine="320" w:firstLineChars="100"/>
        <w:rPr>
          <w:rFonts w:eastAsia="仿宋_GB2312"/>
          <w:sz w:val="32"/>
          <w:szCs w:val="32"/>
        </w:rPr>
      </w:pPr>
    </w:p>
    <w:p w14:paraId="0B292C61">
      <w:pPr>
        <w:spacing w:line="570" w:lineRule="exact"/>
        <w:ind w:firstLine="640" w:firstLineChars="200"/>
        <w:rPr>
          <w:rFonts w:eastAsia="仿宋_GB2312"/>
          <w:sz w:val="32"/>
          <w:szCs w:val="32"/>
        </w:rPr>
      </w:pPr>
      <w:r>
        <w:rPr>
          <w:rFonts w:eastAsia="仿宋_GB2312"/>
          <w:sz w:val="32"/>
          <w:szCs w:val="32"/>
        </w:rPr>
        <w:t>为贯彻落实教育部等九个部门印发《“十四五”学前教育发展提升行动计划》（教基〔2021〕8号）、《广东省人民政府关于印发广东省推动基础教育高质量发展行动方案的通知》（粤府〔2021〕55号）、《广东省“十四五”学前教育发展提升行动计划》（粤教基〔2022〕36号）的精神和要求，推动我市学前教育普及普惠及安全优质发展，结合我市实际情况，特制定本行动计划。</w:t>
      </w:r>
    </w:p>
    <w:p w14:paraId="78AD8B89">
      <w:pPr>
        <w:spacing w:line="570" w:lineRule="exact"/>
        <w:ind w:firstLine="640" w:firstLineChars="200"/>
        <w:rPr>
          <w:rFonts w:eastAsia="黑体"/>
          <w:sz w:val="32"/>
          <w:szCs w:val="32"/>
        </w:rPr>
      </w:pPr>
      <w:r>
        <w:rPr>
          <w:rFonts w:eastAsia="黑体"/>
          <w:sz w:val="32"/>
          <w:szCs w:val="32"/>
        </w:rPr>
        <w:t>一、发展目标</w:t>
      </w:r>
    </w:p>
    <w:p w14:paraId="7B8C5AA3">
      <w:pPr>
        <w:spacing w:line="570" w:lineRule="exact"/>
        <w:ind w:firstLine="640" w:firstLineChars="200"/>
        <w:rPr>
          <w:rFonts w:eastAsia="楷体_GB2312"/>
          <w:sz w:val="32"/>
          <w:szCs w:val="32"/>
        </w:rPr>
      </w:pPr>
      <w:r>
        <w:rPr>
          <w:rFonts w:eastAsia="楷体_GB2312"/>
          <w:sz w:val="32"/>
          <w:szCs w:val="32"/>
        </w:rPr>
        <w:t>（一）总体目标</w:t>
      </w:r>
    </w:p>
    <w:p w14:paraId="6BEB94DD">
      <w:pPr>
        <w:spacing w:line="570" w:lineRule="exact"/>
        <w:ind w:firstLine="640" w:firstLineChars="200"/>
        <w:rPr>
          <w:rFonts w:eastAsia="仿宋_GB2312"/>
          <w:bCs/>
          <w:sz w:val="32"/>
          <w:szCs w:val="32"/>
        </w:rPr>
      </w:pPr>
      <w:r>
        <w:rPr>
          <w:rFonts w:eastAsia="仿宋_GB2312"/>
          <w:sz w:val="32"/>
          <w:szCs w:val="32"/>
        </w:rPr>
        <w:t>到2025年，进一步巩固提高我市学前教育普及普惠水平，推进其安全优质发展，</w:t>
      </w:r>
      <w:r>
        <w:rPr>
          <w:rFonts w:eastAsia="仿宋_GB2312"/>
          <w:bCs/>
          <w:sz w:val="32"/>
          <w:szCs w:val="32"/>
        </w:rPr>
        <w:t>进一步完善广覆盖、保基本、有质量的学前教育公共服务体系。完善学前教育体制机制，落实省市统筹、以县为主的学前教育管理体制，优化和完善学前幼儿园成本分担机制。幼儿园教师配备、工资待遇保障机制和教师培养培训体系更加完善，并形成指导常态化机制。全面提高幼儿园保教质量，健全学前教育教研指导网络，落实教研指导责任区制度。健全完善学前教育监管治理体系，进一步规范办园行为，建立幼小科学衔接机制。</w:t>
      </w:r>
    </w:p>
    <w:p w14:paraId="143185FD">
      <w:pPr>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二）具体目标</w:t>
      </w:r>
    </w:p>
    <w:p w14:paraId="080B4875">
      <w:pPr>
        <w:spacing w:line="570" w:lineRule="exact"/>
        <w:ind w:firstLine="640" w:firstLineChars="200"/>
        <w:rPr>
          <w:rFonts w:eastAsia="仿宋_GB2312"/>
          <w:bCs/>
          <w:sz w:val="32"/>
          <w:szCs w:val="32"/>
        </w:rPr>
      </w:pPr>
      <w:r>
        <w:rPr>
          <w:rFonts w:eastAsia="仿宋_GB2312"/>
          <w:sz w:val="32"/>
          <w:szCs w:val="32"/>
        </w:rPr>
        <w:t>1.巩固提升普及普惠水平。到2025年，</w:t>
      </w:r>
      <w:r>
        <w:rPr>
          <w:rFonts w:eastAsia="仿宋_GB2312"/>
          <w:bCs/>
          <w:sz w:val="32"/>
          <w:szCs w:val="32"/>
        </w:rPr>
        <w:t>市及各县（市、区）学前教育三年毛入园率力争达100%以上；市及各县（市、区）公办园在园幼儿占比达50%以上，市及各县（市、区）公办园和普惠性民办园在园幼儿占比达85%以上，市及各县（市、区）规范化幼儿园比例达95%以上。</w:t>
      </w:r>
    </w:p>
    <w:p w14:paraId="724D6A26">
      <w:pPr>
        <w:spacing w:line="570" w:lineRule="exact"/>
        <w:ind w:firstLine="640" w:firstLineChars="200"/>
        <w:rPr>
          <w:rFonts w:eastAsia="仿宋_GB2312"/>
          <w:sz w:val="32"/>
          <w:szCs w:val="32"/>
        </w:rPr>
      </w:pPr>
      <w:r>
        <w:rPr>
          <w:rFonts w:eastAsia="仿宋_GB2312"/>
          <w:sz w:val="32"/>
          <w:szCs w:val="32"/>
        </w:rPr>
        <w:t>2.实施办园成本分担机制。健全学前教育生均经费拨款和资助制度。</w:t>
      </w:r>
      <w:r>
        <w:rPr>
          <w:rFonts w:eastAsia="仿宋_GB2312"/>
          <w:kern w:val="0"/>
          <w:sz w:val="32"/>
          <w:szCs w:val="32"/>
          <w:lang w:eastAsia="zh-Hans"/>
        </w:rPr>
        <w:t>优化和完善幼儿园成本分担机制，合理确定政府、家庭、举办者分担比例。</w:t>
      </w:r>
      <w:r>
        <w:rPr>
          <w:rFonts w:eastAsia="仿宋_GB2312"/>
          <w:sz w:val="32"/>
          <w:szCs w:val="32"/>
        </w:rPr>
        <w:t>按照规定的管理权限和属地管理原则，建立公办园收费调整机制。</w:t>
      </w:r>
    </w:p>
    <w:p w14:paraId="1F25294C">
      <w:pPr>
        <w:spacing w:line="570" w:lineRule="exact"/>
        <w:ind w:firstLine="640" w:firstLineChars="200"/>
        <w:rPr>
          <w:rFonts w:eastAsia="仿宋_GB2312"/>
          <w:sz w:val="32"/>
          <w:szCs w:val="32"/>
        </w:rPr>
      </w:pPr>
      <w:r>
        <w:rPr>
          <w:rFonts w:eastAsia="仿宋_GB2312"/>
          <w:sz w:val="32"/>
          <w:szCs w:val="32"/>
        </w:rPr>
        <w:t>3.完善监管治理体系。落实学前教育属地管理的职责，理顺各种类型幼儿园管理体制，规范民办园审批和管理，加强幼儿园安全管理，各县（市、区）消除无证幼儿园。</w:t>
      </w:r>
    </w:p>
    <w:p w14:paraId="4233865E">
      <w:pPr>
        <w:spacing w:line="570" w:lineRule="exact"/>
        <w:ind w:firstLine="640" w:firstLineChars="200"/>
        <w:rPr>
          <w:rFonts w:eastAsia="仿宋_GB2312"/>
          <w:bCs/>
          <w:sz w:val="32"/>
          <w:szCs w:val="32"/>
        </w:rPr>
      </w:pPr>
      <w:r>
        <w:rPr>
          <w:rFonts w:eastAsia="仿宋_GB2312"/>
          <w:sz w:val="32"/>
          <w:szCs w:val="32"/>
        </w:rPr>
        <w:t>4.提高保教队伍素质。严格落实全员持证上岗要求，市及</w:t>
      </w:r>
      <w:r>
        <w:rPr>
          <w:rFonts w:eastAsia="仿宋_GB2312"/>
          <w:bCs/>
          <w:sz w:val="32"/>
          <w:szCs w:val="32"/>
        </w:rPr>
        <w:t>各县（市、区）</w:t>
      </w:r>
      <w:r>
        <w:rPr>
          <w:rFonts w:eastAsia="仿宋_GB2312"/>
          <w:sz w:val="32"/>
          <w:szCs w:val="32"/>
        </w:rPr>
        <w:t>大专以上学历的幼儿园专任教师比例达83%；取得专业技术职称的教师比例进一步提高。</w:t>
      </w:r>
    </w:p>
    <w:p w14:paraId="79D521F2">
      <w:pPr>
        <w:spacing w:line="570" w:lineRule="exact"/>
        <w:ind w:firstLine="640" w:firstLineChars="200"/>
        <w:jc w:val="left"/>
        <w:rPr>
          <w:rFonts w:eastAsia="仿宋_GB2312"/>
          <w:bCs/>
          <w:sz w:val="32"/>
          <w:szCs w:val="32"/>
        </w:rPr>
      </w:pPr>
      <w:r>
        <w:rPr>
          <w:rFonts w:eastAsia="仿宋_GB2312"/>
          <w:sz w:val="32"/>
          <w:szCs w:val="32"/>
        </w:rPr>
        <w:t>5.提升保教质量和水平。健全学前教育教研网络和教研指导责任区制度，市及</w:t>
      </w:r>
      <w:r>
        <w:rPr>
          <w:rFonts w:eastAsia="仿宋_GB2312"/>
          <w:bCs/>
          <w:sz w:val="32"/>
          <w:szCs w:val="32"/>
        </w:rPr>
        <w:t>各县（市、区）</w:t>
      </w:r>
      <w:r>
        <w:rPr>
          <w:rFonts w:eastAsia="仿宋_GB2312"/>
          <w:sz w:val="32"/>
          <w:szCs w:val="32"/>
        </w:rPr>
        <w:t>配足配齐专兼职教研员队伍。加强幼儿园科学保教工作指导，打造粤西乡村学前教育发展研究中心，建立2个省级学前教育高质量发展实验区，建设2个省级学前教育教研基地，培育3个省级“新课程”科学保教示范项目，建设学前教育城乡共同体。开展幼儿园保教质量评估，落实幼小科学衔接方案，有效实现幼儿园与小学科学衔接。</w:t>
      </w:r>
    </w:p>
    <w:p w14:paraId="3AC23E47">
      <w:pPr>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三）县（市、区）发展目标</w:t>
      </w:r>
    </w:p>
    <w:tbl>
      <w:tblPr>
        <w:tblStyle w:val="5"/>
        <w:tblW w:w="9699" w:type="dxa"/>
        <w:tblInd w:w="-228" w:type="dxa"/>
        <w:tblLayout w:type="fixed"/>
        <w:tblCellMar>
          <w:top w:w="0" w:type="dxa"/>
          <w:left w:w="108" w:type="dxa"/>
          <w:bottom w:w="0" w:type="dxa"/>
          <w:right w:w="108" w:type="dxa"/>
        </w:tblCellMar>
      </w:tblPr>
      <w:tblGrid>
        <w:gridCol w:w="594"/>
        <w:gridCol w:w="759"/>
        <w:gridCol w:w="756"/>
        <w:gridCol w:w="756"/>
        <w:gridCol w:w="590"/>
        <w:gridCol w:w="834"/>
        <w:gridCol w:w="715"/>
        <w:gridCol w:w="797"/>
        <w:gridCol w:w="613"/>
        <w:gridCol w:w="600"/>
        <w:gridCol w:w="600"/>
        <w:gridCol w:w="608"/>
        <w:gridCol w:w="599"/>
        <w:gridCol w:w="878"/>
      </w:tblGrid>
      <w:tr w14:paraId="2D9C9D6F">
        <w:tblPrEx>
          <w:tblCellMar>
            <w:top w:w="0" w:type="dxa"/>
            <w:left w:w="108" w:type="dxa"/>
            <w:bottom w:w="0" w:type="dxa"/>
            <w:right w:w="108" w:type="dxa"/>
          </w:tblCellMar>
        </w:tblPrEx>
        <w:trPr>
          <w:trHeight w:val="540" w:hRule="atLeast"/>
        </w:trPr>
        <w:tc>
          <w:tcPr>
            <w:tcW w:w="9699" w:type="dxa"/>
            <w:gridSpan w:val="14"/>
            <w:tcBorders>
              <w:top w:val="nil"/>
              <w:left w:val="nil"/>
              <w:bottom w:val="nil"/>
              <w:right w:val="nil"/>
            </w:tcBorders>
            <w:shd w:val="clear" w:color="auto" w:fill="auto"/>
            <w:noWrap w:val="0"/>
            <w:vAlign w:val="center"/>
          </w:tcPr>
          <w:p w14:paraId="48F2F468">
            <w:pPr>
              <w:widowControl/>
              <w:spacing w:line="568" w:lineRule="exact"/>
              <w:jc w:val="center"/>
              <w:textAlignment w:val="center"/>
              <w:rPr>
                <w:rFonts w:eastAsia="方正小标宋简体"/>
                <w:b w:val="0"/>
                <w:sz w:val="32"/>
                <w:szCs w:val="32"/>
              </w:rPr>
            </w:pPr>
            <w:r>
              <w:rPr>
                <w:rFonts w:eastAsia="方正小标宋简体"/>
                <w:b w:val="0"/>
                <w:kern w:val="0"/>
                <w:sz w:val="32"/>
                <w:szCs w:val="32"/>
                <w:lang w:bidi="ar"/>
              </w:rPr>
              <w:t>湛江市“十四五”公办园学位建设专项规划汇总表</w:t>
            </w:r>
          </w:p>
        </w:tc>
      </w:tr>
      <w:tr w14:paraId="384CAE6E">
        <w:tblPrEx>
          <w:tblCellMar>
            <w:top w:w="0" w:type="dxa"/>
            <w:left w:w="108" w:type="dxa"/>
            <w:bottom w:w="0" w:type="dxa"/>
            <w:right w:w="108" w:type="dxa"/>
          </w:tblCellMar>
        </w:tblPrEx>
        <w:trPr>
          <w:trHeight w:val="330"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5E3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序号</w:t>
            </w:r>
          </w:p>
        </w:tc>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4ABDE">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行政区</w:t>
            </w:r>
          </w:p>
        </w:tc>
        <w:tc>
          <w:tcPr>
            <w:tcW w:w="21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DCB1B">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新增幼儿园项目</w:t>
            </w:r>
          </w:p>
        </w:tc>
        <w:tc>
          <w:tcPr>
            <w:tcW w:w="834"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2C9BB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计划投资（万元）</w:t>
            </w:r>
          </w:p>
        </w:tc>
        <w:tc>
          <w:tcPr>
            <w:tcW w:w="71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D812C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新增班级（个）</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0BF3D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新增学位数（个）</w:t>
            </w:r>
          </w:p>
        </w:tc>
        <w:tc>
          <w:tcPr>
            <w:tcW w:w="30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7EA06">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其中各完成年份新增学位（个）</w:t>
            </w: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9BE77">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备注</w:t>
            </w:r>
          </w:p>
        </w:tc>
      </w:tr>
      <w:tr w14:paraId="0E22B093">
        <w:tblPrEx>
          <w:tblCellMar>
            <w:top w:w="0" w:type="dxa"/>
            <w:left w:w="108" w:type="dxa"/>
            <w:bottom w:w="0" w:type="dxa"/>
            <w:right w:w="108" w:type="dxa"/>
          </w:tblCellMar>
        </w:tblPrEx>
        <w:trPr>
          <w:trHeight w:val="630"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D3D3">
            <w:pPr>
              <w:jc w:val="center"/>
              <w:rPr>
                <w:rFonts w:ascii="Times New Roman" w:hAnsi="Times New Roman" w:eastAsia="黑体"/>
                <w:sz w:val="18"/>
                <w:szCs w:val="18"/>
              </w:rPr>
            </w:pPr>
          </w:p>
        </w:tc>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96EFD">
            <w:pPr>
              <w:jc w:val="center"/>
              <w:rPr>
                <w:rFonts w:ascii="Times New Roman" w:hAnsi="Times New Roman" w:eastAsia="黑体"/>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4F8F4C">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政府投资（所）</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FB9767">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房地产配建（所）</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E078D5">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共计（所）</w:t>
            </w:r>
          </w:p>
        </w:tc>
        <w:tc>
          <w:tcPr>
            <w:tcW w:w="83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FE414E">
            <w:pPr>
              <w:jc w:val="center"/>
              <w:rPr>
                <w:rFonts w:ascii="Times New Roman" w:hAnsi="Times New Roman" w:eastAsia="黑体"/>
                <w:sz w:val="18"/>
                <w:szCs w:val="18"/>
              </w:rPr>
            </w:pPr>
          </w:p>
        </w:tc>
        <w:tc>
          <w:tcPr>
            <w:tcW w:w="71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B4C9E5">
            <w:pPr>
              <w:jc w:val="center"/>
              <w:rPr>
                <w:rFonts w:ascii="Times New Roman" w:hAnsi="Times New Roman" w:eastAsia="黑体"/>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903EB7">
            <w:pPr>
              <w:jc w:val="center"/>
              <w:rPr>
                <w:rFonts w:ascii="Times New Roman" w:hAnsi="Times New Roman" w:eastAsia="黑体"/>
                <w:sz w:val="18"/>
                <w:szCs w:val="18"/>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39EA5D">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2021</w:t>
            </w:r>
            <w:r>
              <w:rPr>
                <w:rFonts w:ascii="Times New Roman" w:hAnsi="黑体" w:eastAsia="黑体"/>
                <w:kern w:val="0"/>
                <w:sz w:val="18"/>
                <w:szCs w:val="18"/>
                <w:lang w:bidi="ar"/>
              </w:rPr>
              <w:t>年</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3B5346">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2022</w:t>
            </w:r>
            <w:r>
              <w:rPr>
                <w:rFonts w:ascii="Times New Roman" w:hAnsi="黑体" w:eastAsia="黑体"/>
                <w:kern w:val="0"/>
                <w:sz w:val="18"/>
                <w:szCs w:val="18"/>
                <w:lang w:bidi="ar"/>
              </w:rPr>
              <w:t>年</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974DB">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2023</w:t>
            </w:r>
            <w:r>
              <w:rPr>
                <w:rFonts w:ascii="Times New Roman" w:hAnsi="黑体" w:eastAsia="黑体"/>
                <w:kern w:val="0"/>
                <w:sz w:val="18"/>
                <w:szCs w:val="18"/>
                <w:lang w:bidi="ar"/>
              </w:rPr>
              <w:t>年</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36B6FE">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2024</w:t>
            </w:r>
            <w:r>
              <w:rPr>
                <w:rFonts w:ascii="Times New Roman" w:hAnsi="黑体" w:eastAsia="黑体"/>
                <w:kern w:val="0"/>
                <w:sz w:val="18"/>
                <w:szCs w:val="18"/>
                <w:lang w:bidi="ar"/>
              </w:rPr>
              <w:t>年</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385BA5">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2025</w:t>
            </w:r>
            <w:r>
              <w:rPr>
                <w:rFonts w:ascii="Times New Roman" w:hAnsi="黑体" w:eastAsia="黑体"/>
                <w:kern w:val="0"/>
                <w:sz w:val="18"/>
                <w:szCs w:val="18"/>
                <w:lang w:bidi="ar"/>
              </w:rPr>
              <w:t>年</w:t>
            </w: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4D383">
            <w:pPr>
              <w:jc w:val="center"/>
              <w:rPr>
                <w:rFonts w:eastAsia="仿宋_GB2312"/>
                <w:sz w:val="18"/>
                <w:szCs w:val="18"/>
              </w:rPr>
            </w:pPr>
          </w:p>
        </w:tc>
      </w:tr>
      <w:tr w14:paraId="7367F130">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66C6">
            <w:pPr>
              <w:widowControl/>
              <w:jc w:val="center"/>
              <w:textAlignment w:val="center"/>
              <w:rPr>
                <w:sz w:val="18"/>
                <w:szCs w:val="18"/>
              </w:rPr>
            </w:pPr>
            <w:r>
              <w:rPr>
                <w:kern w:val="0"/>
                <w:sz w:val="18"/>
                <w:szCs w:val="18"/>
              </w:rPr>
              <w:t>1</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95B8">
            <w:pPr>
              <w:widowControl/>
              <w:jc w:val="center"/>
              <w:textAlignment w:val="center"/>
              <w:rPr>
                <w:sz w:val="18"/>
                <w:szCs w:val="18"/>
              </w:rPr>
            </w:pPr>
            <w:r>
              <w:rPr>
                <w:kern w:val="0"/>
                <w:sz w:val="18"/>
                <w:szCs w:val="18"/>
              </w:rPr>
              <w:t>赤坎区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C51D9">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F6FF3">
            <w:pPr>
              <w:widowControl/>
              <w:jc w:val="center"/>
              <w:textAlignment w:val="center"/>
              <w:rPr>
                <w:sz w:val="18"/>
                <w:szCs w:val="18"/>
              </w:rPr>
            </w:pPr>
            <w:r>
              <w:rPr>
                <w:kern w:val="0"/>
                <w:sz w:val="18"/>
                <w:szCs w:val="18"/>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883CFA">
            <w:pPr>
              <w:widowControl/>
              <w:jc w:val="center"/>
              <w:textAlignment w:val="center"/>
              <w:rPr>
                <w:sz w:val="18"/>
                <w:szCs w:val="18"/>
              </w:rPr>
            </w:pPr>
            <w:r>
              <w:rPr>
                <w:kern w:val="0"/>
                <w:sz w:val="18"/>
                <w:szCs w:val="18"/>
              </w:rPr>
              <w:t>2</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BD5EE">
            <w:pPr>
              <w:widowControl/>
              <w:jc w:val="center"/>
              <w:textAlignment w:val="center"/>
              <w:rPr>
                <w:sz w:val="18"/>
                <w:szCs w:val="18"/>
              </w:rPr>
            </w:pPr>
            <w:r>
              <w:rPr>
                <w:kern w:val="0"/>
                <w:sz w:val="18"/>
                <w:szCs w:val="18"/>
              </w:rPr>
              <w:t>3600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55F1A">
            <w:pPr>
              <w:widowControl/>
              <w:jc w:val="center"/>
              <w:textAlignment w:val="center"/>
              <w:rPr>
                <w:sz w:val="18"/>
                <w:szCs w:val="18"/>
              </w:rPr>
            </w:pPr>
            <w:r>
              <w:rPr>
                <w:kern w:val="0"/>
                <w:sz w:val="18"/>
                <w:szCs w:val="18"/>
              </w:rPr>
              <w:t>30</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FE6D8">
            <w:pPr>
              <w:widowControl/>
              <w:jc w:val="center"/>
              <w:textAlignment w:val="center"/>
              <w:rPr>
                <w:sz w:val="18"/>
                <w:szCs w:val="18"/>
              </w:rPr>
            </w:pPr>
            <w:r>
              <w:rPr>
                <w:kern w:val="0"/>
                <w:sz w:val="18"/>
                <w:szCs w:val="18"/>
              </w:rPr>
              <w:t>900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D0935">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104D6">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D1A58">
            <w:pPr>
              <w:widowControl/>
              <w:jc w:val="center"/>
              <w:textAlignment w:val="center"/>
              <w:rPr>
                <w:sz w:val="18"/>
                <w:szCs w:val="18"/>
              </w:rPr>
            </w:pPr>
            <w:r>
              <w:rPr>
                <w:kern w:val="0"/>
                <w:sz w:val="18"/>
                <w:szCs w:val="18"/>
              </w:rPr>
              <w:t>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9F0F">
            <w:pPr>
              <w:widowControl/>
              <w:jc w:val="center"/>
              <w:textAlignment w:val="center"/>
              <w:rPr>
                <w:sz w:val="18"/>
                <w:szCs w:val="18"/>
              </w:rPr>
            </w:pPr>
            <w:r>
              <w:rPr>
                <w:kern w:val="0"/>
                <w:sz w:val="18"/>
                <w:szCs w:val="18"/>
              </w:rPr>
              <w:t>450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BF9CB">
            <w:pPr>
              <w:widowControl/>
              <w:jc w:val="center"/>
              <w:textAlignment w:val="center"/>
              <w:rPr>
                <w:sz w:val="18"/>
                <w:szCs w:val="18"/>
              </w:rPr>
            </w:pPr>
            <w:r>
              <w:rPr>
                <w:kern w:val="0"/>
                <w:sz w:val="18"/>
                <w:szCs w:val="18"/>
              </w:rPr>
              <w:t>450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E5187">
            <w:pPr>
              <w:jc w:val="center"/>
              <w:rPr>
                <w:sz w:val="18"/>
                <w:szCs w:val="18"/>
              </w:rPr>
            </w:pPr>
          </w:p>
        </w:tc>
      </w:tr>
      <w:tr w14:paraId="738BF230">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3B6DE">
            <w:pPr>
              <w:widowControl/>
              <w:jc w:val="center"/>
              <w:textAlignment w:val="center"/>
              <w:rPr>
                <w:sz w:val="18"/>
                <w:szCs w:val="18"/>
              </w:rPr>
            </w:pPr>
            <w:r>
              <w:rPr>
                <w:kern w:val="0"/>
                <w:sz w:val="18"/>
                <w:szCs w:val="18"/>
              </w:rPr>
              <w:t>2</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97B55">
            <w:pPr>
              <w:widowControl/>
              <w:jc w:val="center"/>
              <w:textAlignment w:val="center"/>
              <w:rPr>
                <w:sz w:val="18"/>
                <w:szCs w:val="18"/>
              </w:rPr>
            </w:pPr>
            <w:r>
              <w:rPr>
                <w:kern w:val="0"/>
                <w:sz w:val="18"/>
                <w:szCs w:val="18"/>
              </w:rPr>
              <w:t>霞山区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00E7A">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D4BB1">
            <w:pPr>
              <w:widowControl/>
              <w:jc w:val="center"/>
              <w:textAlignment w:val="center"/>
              <w:rPr>
                <w:sz w:val="18"/>
                <w:szCs w:val="18"/>
              </w:rPr>
            </w:pPr>
            <w:r>
              <w:rPr>
                <w:kern w:val="0"/>
                <w:sz w:val="18"/>
                <w:szCs w:val="18"/>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6217C2">
            <w:pPr>
              <w:widowControl/>
              <w:jc w:val="center"/>
              <w:textAlignment w:val="center"/>
              <w:rPr>
                <w:sz w:val="18"/>
                <w:szCs w:val="18"/>
              </w:rPr>
            </w:pPr>
            <w:r>
              <w:rPr>
                <w:kern w:val="0"/>
                <w:sz w:val="18"/>
                <w:szCs w:val="18"/>
              </w:rPr>
              <w:t>2</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54DC">
            <w:pPr>
              <w:widowControl/>
              <w:jc w:val="center"/>
              <w:textAlignment w:val="center"/>
              <w:rPr>
                <w:sz w:val="18"/>
                <w:szCs w:val="18"/>
              </w:rPr>
            </w:pPr>
            <w:r>
              <w:rPr>
                <w:kern w:val="0"/>
                <w:sz w:val="18"/>
                <w:szCs w:val="18"/>
              </w:rPr>
              <w:t>3940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9159">
            <w:pPr>
              <w:widowControl/>
              <w:jc w:val="center"/>
              <w:textAlignment w:val="center"/>
              <w:rPr>
                <w:sz w:val="18"/>
                <w:szCs w:val="18"/>
              </w:rPr>
            </w:pPr>
            <w:r>
              <w:rPr>
                <w:kern w:val="0"/>
                <w:sz w:val="18"/>
                <w:szCs w:val="18"/>
              </w:rPr>
              <w:t>21</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9FBD">
            <w:pPr>
              <w:widowControl/>
              <w:jc w:val="center"/>
              <w:textAlignment w:val="center"/>
              <w:rPr>
                <w:sz w:val="18"/>
                <w:szCs w:val="18"/>
              </w:rPr>
            </w:pPr>
            <w:r>
              <w:rPr>
                <w:kern w:val="0"/>
                <w:sz w:val="18"/>
                <w:szCs w:val="18"/>
              </w:rPr>
              <w:t>630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3FE20">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9AB56">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41E5B">
            <w:pPr>
              <w:widowControl/>
              <w:jc w:val="center"/>
              <w:textAlignment w:val="center"/>
              <w:rPr>
                <w:sz w:val="18"/>
                <w:szCs w:val="18"/>
              </w:rPr>
            </w:pPr>
            <w:r>
              <w:rPr>
                <w:kern w:val="0"/>
                <w:sz w:val="18"/>
                <w:szCs w:val="18"/>
              </w:rPr>
              <w:t>360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AA617">
            <w:pPr>
              <w:widowControl/>
              <w:jc w:val="center"/>
              <w:textAlignment w:val="center"/>
              <w:rPr>
                <w:sz w:val="18"/>
                <w:szCs w:val="18"/>
              </w:rPr>
            </w:pPr>
            <w:r>
              <w:rPr>
                <w:kern w:val="0"/>
                <w:sz w:val="18"/>
                <w:szCs w:val="18"/>
              </w:rPr>
              <w:t>270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3B599">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CFE37">
            <w:pPr>
              <w:jc w:val="center"/>
              <w:rPr>
                <w:sz w:val="18"/>
                <w:szCs w:val="18"/>
              </w:rPr>
            </w:pPr>
          </w:p>
        </w:tc>
      </w:tr>
      <w:tr w14:paraId="034452F6">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4B94">
            <w:pPr>
              <w:widowControl/>
              <w:jc w:val="center"/>
              <w:textAlignment w:val="center"/>
              <w:rPr>
                <w:sz w:val="18"/>
                <w:szCs w:val="18"/>
              </w:rPr>
            </w:pPr>
            <w:r>
              <w:rPr>
                <w:kern w:val="0"/>
                <w:sz w:val="18"/>
                <w:szCs w:val="18"/>
              </w:rPr>
              <w:t>3</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29E8F">
            <w:pPr>
              <w:widowControl/>
              <w:jc w:val="center"/>
              <w:textAlignment w:val="center"/>
              <w:rPr>
                <w:sz w:val="18"/>
                <w:szCs w:val="18"/>
              </w:rPr>
            </w:pPr>
            <w:r>
              <w:rPr>
                <w:kern w:val="0"/>
                <w:sz w:val="18"/>
                <w:szCs w:val="18"/>
              </w:rPr>
              <w:t>坡头区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D9E92">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7CD96">
            <w:pPr>
              <w:widowControl/>
              <w:jc w:val="center"/>
              <w:textAlignment w:val="center"/>
              <w:rPr>
                <w:sz w:val="18"/>
                <w:szCs w:val="18"/>
              </w:rPr>
            </w:pPr>
            <w:r>
              <w:rPr>
                <w:kern w:val="0"/>
                <w:sz w:val="18"/>
                <w:szCs w:val="18"/>
              </w:rPr>
              <w:t>5</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CC9F5E">
            <w:pPr>
              <w:widowControl/>
              <w:jc w:val="center"/>
              <w:textAlignment w:val="center"/>
              <w:rPr>
                <w:sz w:val="18"/>
                <w:szCs w:val="18"/>
              </w:rPr>
            </w:pPr>
            <w:r>
              <w:rPr>
                <w:kern w:val="0"/>
                <w:sz w:val="18"/>
                <w:szCs w:val="18"/>
              </w:rPr>
              <w:t>5</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9D938">
            <w:pPr>
              <w:widowControl/>
              <w:jc w:val="center"/>
              <w:textAlignment w:val="center"/>
              <w:rPr>
                <w:sz w:val="18"/>
                <w:szCs w:val="18"/>
              </w:rPr>
            </w:pPr>
            <w:r>
              <w:rPr>
                <w:kern w:val="0"/>
                <w:sz w:val="18"/>
                <w:szCs w:val="18"/>
              </w:rPr>
              <w:t>7200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0F6E">
            <w:pPr>
              <w:widowControl/>
              <w:jc w:val="center"/>
              <w:textAlignment w:val="center"/>
              <w:rPr>
                <w:sz w:val="18"/>
                <w:szCs w:val="18"/>
              </w:rPr>
            </w:pPr>
            <w:r>
              <w:rPr>
                <w:sz w:val="18"/>
                <w:szCs w:val="18"/>
              </w:rPr>
              <w:t>63</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AF87A">
            <w:pPr>
              <w:widowControl/>
              <w:jc w:val="center"/>
              <w:textAlignment w:val="center"/>
              <w:rPr>
                <w:sz w:val="18"/>
                <w:szCs w:val="18"/>
              </w:rPr>
            </w:pPr>
            <w:r>
              <w:rPr>
                <w:sz w:val="18"/>
                <w:szCs w:val="18"/>
              </w:rPr>
              <w:t>1890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5139">
            <w:pPr>
              <w:widowControl/>
              <w:jc w:val="center"/>
              <w:textAlignment w:val="center"/>
              <w:rPr>
                <w:sz w:val="18"/>
                <w:szCs w:val="18"/>
              </w:rPr>
            </w:pPr>
            <w:r>
              <w:rPr>
                <w:sz w:val="18"/>
                <w:szCs w:val="18"/>
              </w:rPr>
              <w:t>540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C9042">
            <w:pPr>
              <w:widowControl/>
              <w:jc w:val="center"/>
              <w:textAlignment w:val="center"/>
              <w:rPr>
                <w:sz w:val="18"/>
                <w:szCs w:val="18"/>
              </w:rPr>
            </w:pPr>
            <w:r>
              <w:rPr>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AA35">
            <w:pPr>
              <w:widowControl/>
              <w:jc w:val="center"/>
              <w:textAlignment w:val="center"/>
              <w:rPr>
                <w:sz w:val="18"/>
                <w:szCs w:val="18"/>
              </w:rPr>
            </w:pPr>
            <w:r>
              <w:rPr>
                <w:sz w:val="18"/>
                <w:szCs w:val="18"/>
              </w:rPr>
              <w:t>270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08154">
            <w:pPr>
              <w:widowControl/>
              <w:jc w:val="center"/>
              <w:textAlignment w:val="center"/>
              <w:rPr>
                <w:sz w:val="18"/>
                <w:szCs w:val="18"/>
              </w:rPr>
            </w:pPr>
            <w:r>
              <w:rPr>
                <w:sz w:val="18"/>
                <w:szCs w:val="18"/>
              </w:rPr>
              <w:t>720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7AED7">
            <w:pPr>
              <w:widowControl/>
              <w:jc w:val="center"/>
              <w:textAlignment w:val="center"/>
              <w:rPr>
                <w:sz w:val="18"/>
                <w:szCs w:val="18"/>
              </w:rPr>
            </w:pPr>
            <w:r>
              <w:rPr>
                <w:sz w:val="18"/>
                <w:szCs w:val="18"/>
              </w:rPr>
              <w:t>360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B435">
            <w:pPr>
              <w:jc w:val="center"/>
              <w:rPr>
                <w:sz w:val="18"/>
                <w:szCs w:val="18"/>
              </w:rPr>
            </w:pPr>
          </w:p>
        </w:tc>
      </w:tr>
      <w:tr w14:paraId="439916C2">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7204">
            <w:pPr>
              <w:widowControl/>
              <w:jc w:val="center"/>
              <w:textAlignment w:val="center"/>
              <w:rPr>
                <w:sz w:val="18"/>
                <w:szCs w:val="18"/>
              </w:rPr>
            </w:pPr>
            <w:r>
              <w:rPr>
                <w:kern w:val="0"/>
                <w:sz w:val="18"/>
                <w:szCs w:val="18"/>
              </w:rPr>
              <w:t>4</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EF603">
            <w:pPr>
              <w:widowControl/>
              <w:jc w:val="center"/>
              <w:textAlignment w:val="center"/>
              <w:rPr>
                <w:sz w:val="18"/>
                <w:szCs w:val="18"/>
              </w:rPr>
            </w:pPr>
            <w:r>
              <w:rPr>
                <w:kern w:val="0"/>
                <w:sz w:val="18"/>
                <w:szCs w:val="18"/>
              </w:rPr>
              <w:t>麻章区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54D68">
            <w:pPr>
              <w:widowControl/>
              <w:jc w:val="center"/>
              <w:textAlignment w:val="center"/>
              <w:rPr>
                <w:sz w:val="18"/>
                <w:szCs w:val="18"/>
              </w:rPr>
            </w:pPr>
            <w:r>
              <w:rPr>
                <w:kern w:val="0"/>
                <w:sz w:val="18"/>
                <w:szCs w:val="18"/>
              </w:rPr>
              <w:t>2</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5B3F3">
            <w:pPr>
              <w:widowControl/>
              <w:jc w:val="center"/>
              <w:textAlignment w:val="center"/>
              <w:rPr>
                <w:sz w:val="18"/>
                <w:szCs w:val="18"/>
              </w:rPr>
            </w:pPr>
            <w:r>
              <w:rPr>
                <w:kern w:val="0"/>
                <w:sz w:val="18"/>
                <w:szCs w:val="18"/>
              </w:rPr>
              <w:t>3</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06C6B2">
            <w:pPr>
              <w:widowControl/>
              <w:jc w:val="center"/>
              <w:textAlignment w:val="center"/>
              <w:rPr>
                <w:sz w:val="18"/>
                <w:szCs w:val="18"/>
              </w:rPr>
            </w:pPr>
            <w:r>
              <w:rPr>
                <w:kern w:val="0"/>
                <w:sz w:val="18"/>
                <w:szCs w:val="18"/>
              </w:rPr>
              <w:t>5</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DDAC7">
            <w:pPr>
              <w:widowControl/>
              <w:jc w:val="center"/>
              <w:textAlignment w:val="center"/>
              <w:rPr>
                <w:sz w:val="18"/>
                <w:szCs w:val="18"/>
              </w:rPr>
            </w:pPr>
            <w:r>
              <w:rPr>
                <w:kern w:val="0"/>
                <w:sz w:val="18"/>
                <w:szCs w:val="18"/>
              </w:rPr>
              <w:t>15937</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631F">
            <w:pPr>
              <w:widowControl/>
              <w:jc w:val="center"/>
              <w:textAlignment w:val="center"/>
              <w:rPr>
                <w:sz w:val="18"/>
                <w:szCs w:val="18"/>
              </w:rPr>
            </w:pPr>
            <w:r>
              <w:rPr>
                <w:kern w:val="0"/>
                <w:sz w:val="18"/>
                <w:szCs w:val="18"/>
              </w:rPr>
              <w:t>63</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83CD5">
            <w:pPr>
              <w:widowControl/>
              <w:jc w:val="center"/>
              <w:textAlignment w:val="center"/>
              <w:rPr>
                <w:sz w:val="18"/>
                <w:szCs w:val="18"/>
              </w:rPr>
            </w:pPr>
            <w:r>
              <w:rPr>
                <w:kern w:val="0"/>
                <w:sz w:val="18"/>
                <w:szCs w:val="18"/>
              </w:rPr>
              <w:t>1890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2EFB">
            <w:pPr>
              <w:widowControl/>
              <w:jc w:val="center"/>
              <w:textAlignment w:val="center"/>
              <w:rPr>
                <w:sz w:val="18"/>
                <w:szCs w:val="18"/>
              </w:rPr>
            </w:pPr>
            <w:r>
              <w:rPr>
                <w:kern w:val="0"/>
                <w:sz w:val="18"/>
                <w:szCs w:val="18"/>
              </w:rPr>
              <w:t>360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1916C">
            <w:pPr>
              <w:widowControl/>
              <w:jc w:val="center"/>
              <w:textAlignment w:val="center"/>
              <w:rPr>
                <w:sz w:val="18"/>
                <w:szCs w:val="18"/>
              </w:rPr>
            </w:pPr>
            <w:r>
              <w:rPr>
                <w:kern w:val="0"/>
                <w:sz w:val="18"/>
                <w:szCs w:val="18"/>
              </w:rPr>
              <w:t>360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8A3C2">
            <w:pPr>
              <w:widowControl/>
              <w:jc w:val="center"/>
              <w:textAlignment w:val="center"/>
              <w:rPr>
                <w:color w:val="FF0000"/>
                <w:sz w:val="18"/>
                <w:szCs w:val="18"/>
              </w:rPr>
            </w:pPr>
            <w:r>
              <w:rPr>
                <w:kern w:val="0"/>
                <w:sz w:val="18"/>
                <w:szCs w:val="18"/>
              </w:rPr>
              <w:t>270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714F">
            <w:pPr>
              <w:widowControl/>
              <w:jc w:val="center"/>
              <w:textAlignment w:val="center"/>
              <w:rPr>
                <w:color w:val="FF0000"/>
                <w:sz w:val="18"/>
                <w:szCs w:val="18"/>
              </w:rPr>
            </w:pPr>
            <w:r>
              <w:rPr>
                <w:sz w:val="18"/>
                <w:szCs w:val="18"/>
              </w:rPr>
              <w:t>450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02C3A">
            <w:pPr>
              <w:widowControl/>
              <w:jc w:val="center"/>
              <w:textAlignment w:val="center"/>
              <w:rPr>
                <w:sz w:val="18"/>
                <w:szCs w:val="18"/>
              </w:rPr>
            </w:pPr>
            <w:r>
              <w:rPr>
                <w:kern w:val="0"/>
                <w:sz w:val="18"/>
                <w:szCs w:val="18"/>
              </w:rPr>
              <w:t>450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973D7">
            <w:pPr>
              <w:jc w:val="center"/>
              <w:rPr>
                <w:sz w:val="18"/>
                <w:szCs w:val="18"/>
              </w:rPr>
            </w:pPr>
          </w:p>
        </w:tc>
      </w:tr>
      <w:tr w14:paraId="33B27F77">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AAE41">
            <w:pPr>
              <w:widowControl/>
              <w:jc w:val="center"/>
              <w:textAlignment w:val="center"/>
              <w:rPr>
                <w:sz w:val="18"/>
                <w:szCs w:val="18"/>
              </w:rPr>
            </w:pPr>
            <w:r>
              <w:rPr>
                <w:kern w:val="0"/>
                <w:sz w:val="18"/>
                <w:szCs w:val="18"/>
              </w:rPr>
              <w:t>5</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7A79">
            <w:pPr>
              <w:widowControl/>
              <w:jc w:val="center"/>
              <w:textAlignment w:val="center"/>
              <w:rPr>
                <w:sz w:val="18"/>
                <w:szCs w:val="18"/>
              </w:rPr>
            </w:pPr>
            <w:r>
              <w:rPr>
                <w:kern w:val="0"/>
                <w:sz w:val="18"/>
                <w:szCs w:val="18"/>
              </w:rPr>
              <w:t>经开区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9038">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6E325">
            <w:pPr>
              <w:widowControl/>
              <w:jc w:val="center"/>
              <w:textAlignment w:val="center"/>
              <w:rPr>
                <w:sz w:val="18"/>
                <w:szCs w:val="18"/>
              </w:rPr>
            </w:pPr>
            <w:r>
              <w:rPr>
                <w:kern w:val="0"/>
                <w:sz w:val="18"/>
                <w:szCs w:val="18"/>
              </w:rPr>
              <w:t>3</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3FADB9">
            <w:pPr>
              <w:widowControl/>
              <w:jc w:val="center"/>
              <w:textAlignment w:val="center"/>
              <w:rPr>
                <w:sz w:val="18"/>
                <w:szCs w:val="18"/>
              </w:rPr>
            </w:pPr>
            <w:r>
              <w:rPr>
                <w:kern w:val="0"/>
                <w:sz w:val="18"/>
                <w:szCs w:val="18"/>
              </w:rPr>
              <w:t>3</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C8975">
            <w:pPr>
              <w:widowControl/>
              <w:jc w:val="center"/>
              <w:textAlignment w:val="center"/>
              <w:rPr>
                <w:sz w:val="18"/>
                <w:szCs w:val="18"/>
              </w:rPr>
            </w:pPr>
            <w:r>
              <w:rPr>
                <w:kern w:val="0"/>
                <w:sz w:val="18"/>
                <w:szCs w:val="18"/>
              </w:rPr>
              <w:t>8824</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09506">
            <w:pPr>
              <w:widowControl/>
              <w:jc w:val="center"/>
              <w:textAlignment w:val="center"/>
              <w:rPr>
                <w:sz w:val="18"/>
                <w:szCs w:val="18"/>
              </w:rPr>
            </w:pPr>
            <w:r>
              <w:rPr>
                <w:sz w:val="18"/>
                <w:szCs w:val="18"/>
              </w:rPr>
              <w:t>38</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27206">
            <w:pPr>
              <w:widowControl/>
              <w:jc w:val="center"/>
              <w:textAlignment w:val="center"/>
              <w:rPr>
                <w:sz w:val="18"/>
                <w:szCs w:val="18"/>
              </w:rPr>
            </w:pPr>
            <w:r>
              <w:rPr>
                <w:kern w:val="0"/>
                <w:sz w:val="18"/>
                <w:szCs w:val="18"/>
              </w:rPr>
              <w:t>1140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61471">
            <w:pPr>
              <w:widowControl/>
              <w:jc w:val="center"/>
              <w:textAlignment w:val="center"/>
              <w:rPr>
                <w:sz w:val="18"/>
                <w:szCs w:val="18"/>
              </w:rPr>
            </w:pPr>
            <w:r>
              <w:rPr>
                <w:kern w:val="0"/>
                <w:sz w:val="18"/>
                <w:szCs w:val="18"/>
              </w:rPr>
              <w:t>360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D299B">
            <w:pPr>
              <w:widowControl/>
              <w:jc w:val="center"/>
              <w:textAlignment w:val="center"/>
              <w:rPr>
                <w:sz w:val="18"/>
                <w:szCs w:val="18"/>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91AC7">
            <w:pPr>
              <w:widowControl/>
              <w:jc w:val="center"/>
              <w:textAlignment w:val="center"/>
              <w:rPr>
                <w:sz w:val="18"/>
                <w:szCs w:val="18"/>
              </w:rPr>
            </w:pPr>
            <w:r>
              <w:rPr>
                <w:sz w:val="18"/>
                <w:szCs w:val="18"/>
              </w:rPr>
              <w:t>240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ACE4">
            <w:pPr>
              <w:widowControl/>
              <w:jc w:val="center"/>
              <w:textAlignment w:val="center"/>
              <w:rPr>
                <w:sz w:val="18"/>
                <w:szCs w:val="18"/>
              </w:rPr>
            </w:pPr>
            <w:r>
              <w:rPr>
                <w:kern w:val="0"/>
                <w:sz w:val="18"/>
                <w:szCs w:val="18"/>
              </w:rPr>
              <w:t>540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0BE2F">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24D2">
            <w:pPr>
              <w:jc w:val="center"/>
              <w:rPr>
                <w:sz w:val="18"/>
                <w:szCs w:val="18"/>
              </w:rPr>
            </w:pPr>
          </w:p>
        </w:tc>
      </w:tr>
      <w:tr w14:paraId="13D904D1">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309CB">
            <w:pPr>
              <w:widowControl/>
              <w:jc w:val="center"/>
              <w:textAlignment w:val="center"/>
              <w:rPr>
                <w:sz w:val="18"/>
                <w:szCs w:val="18"/>
              </w:rPr>
            </w:pPr>
            <w:r>
              <w:rPr>
                <w:kern w:val="0"/>
                <w:sz w:val="18"/>
                <w:szCs w:val="18"/>
              </w:rPr>
              <w:t>6</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8F85F">
            <w:pPr>
              <w:widowControl/>
              <w:jc w:val="center"/>
              <w:textAlignment w:val="center"/>
              <w:rPr>
                <w:sz w:val="18"/>
                <w:szCs w:val="18"/>
              </w:rPr>
            </w:pPr>
            <w:r>
              <w:rPr>
                <w:kern w:val="0"/>
                <w:sz w:val="18"/>
                <w:szCs w:val="18"/>
              </w:rPr>
              <w:t>雷州市</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5001F">
            <w:pPr>
              <w:widowControl/>
              <w:jc w:val="center"/>
              <w:textAlignment w:val="center"/>
              <w:rPr>
                <w:sz w:val="18"/>
                <w:szCs w:val="18"/>
              </w:rPr>
            </w:pPr>
            <w:r>
              <w:rPr>
                <w:sz w:val="18"/>
                <w:szCs w:val="18"/>
              </w:rPr>
              <w:t>6</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556">
            <w:pPr>
              <w:widowControl/>
              <w:jc w:val="center"/>
              <w:textAlignment w:val="center"/>
              <w:rPr>
                <w:sz w:val="18"/>
                <w:szCs w:val="18"/>
              </w:rPr>
            </w:pPr>
            <w:r>
              <w:rPr>
                <w:sz w:val="18"/>
                <w:szCs w:val="18"/>
              </w:rPr>
              <w:t>3</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FCE2F1">
            <w:pPr>
              <w:widowControl/>
              <w:jc w:val="center"/>
              <w:textAlignment w:val="center"/>
              <w:rPr>
                <w:sz w:val="18"/>
                <w:szCs w:val="18"/>
              </w:rPr>
            </w:pPr>
            <w:r>
              <w:rPr>
                <w:sz w:val="18"/>
                <w:szCs w:val="18"/>
              </w:rPr>
              <w:t>9</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8AE4D">
            <w:pPr>
              <w:widowControl/>
              <w:jc w:val="center"/>
              <w:textAlignment w:val="center"/>
              <w:rPr>
                <w:sz w:val="18"/>
                <w:szCs w:val="18"/>
              </w:rPr>
            </w:pPr>
            <w:r>
              <w:rPr>
                <w:sz w:val="18"/>
                <w:szCs w:val="18"/>
              </w:rPr>
              <w:t>4714</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5594">
            <w:pPr>
              <w:widowControl/>
              <w:jc w:val="center"/>
              <w:textAlignment w:val="center"/>
              <w:rPr>
                <w:sz w:val="18"/>
                <w:szCs w:val="18"/>
              </w:rPr>
            </w:pPr>
            <w:r>
              <w:rPr>
                <w:sz w:val="18"/>
                <w:szCs w:val="18"/>
              </w:rPr>
              <w:t>64</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B5EB6">
            <w:pPr>
              <w:widowControl/>
              <w:jc w:val="center"/>
              <w:textAlignment w:val="center"/>
              <w:rPr>
                <w:sz w:val="18"/>
                <w:szCs w:val="18"/>
              </w:rPr>
            </w:pPr>
            <w:r>
              <w:rPr>
                <w:kern w:val="0"/>
                <w:sz w:val="18"/>
                <w:szCs w:val="18"/>
              </w:rPr>
              <w:t>1920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9CB6">
            <w:pPr>
              <w:widowControl/>
              <w:jc w:val="center"/>
              <w:textAlignment w:val="center"/>
              <w:rPr>
                <w:sz w:val="18"/>
                <w:szCs w:val="18"/>
              </w:rPr>
            </w:pPr>
            <w:r>
              <w:rPr>
                <w:sz w:val="18"/>
                <w:szCs w:val="18"/>
              </w:rPr>
              <w:t>630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AD439">
            <w:pPr>
              <w:widowControl/>
              <w:jc w:val="center"/>
              <w:textAlignment w:val="center"/>
              <w:rPr>
                <w:sz w:val="18"/>
                <w:szCs w:val="18"/>
              </w:rPr>
            </w:pPr>
            <w:r>
              <w:rPr>
                <w:kern w:val="0"/>
                <w:sz w:val="18"/>
                <w:szCs w:val="18"/>
              </w:rPr>
              <w:t>480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A683F">
            <w:pPr>
              <w:widowControl/>
              <w:jc w:val="center"/>
              <w:textAlignment w:val="center"/>
              <w:rPr>
                <w:sz w:val="18"/>
                <w:szCs w:val="18"/>
              </w:rPr>
            </w:pPr>
            <w:r>
              <w:rPr>
                <w:sz w:val="18"/>
                <w:szCs w:val="18"/>
              </w:rPr>
              <w:t>450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E9DC7">
            <w:pPr>
              <w:widowControl/>
              <w:jc w:val="center"/>
              <w:textAlignment w:val="center"/>
              <w:rPr>
                <w:sz w:val="18"/>
                <w:szCs w:val="18"/>
              </w:rPr>
            </w:pPr>
            <w:r>
              <w:rPr>
                <w:kern w:val="0"/>
                <w:sz w:val="18"/>
                <w:szCs w:val="18"/>
              </w:rPr>
              <w:t>360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3F6FE">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854D">
            <w:pPr>
              <w:jc w:val="center"/>
              <w:rPr>
                <w:sz w:val="18"/>
                <w:szCs w:val="18"/>
              </w:rPr>
            </w:pPr>
          </w:p>
        </w:tc>
      </w:tr>
      <w:tr w14:paraId="6D308ABB">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D3B4C">
            <w:pPr>
              <w:widowControl/>
              <w:jc w:val="center"/>
              <w:textAlignment w:val="center"/>
              <w:rPr>
                <w:sz w:val="18"/>
                <w:szCs w:val="18"/>
              </w:rPr>
            </w:pPr>
            <w:r>
              <w:rPr>
                <w:kern w:val="0"/>
                <w:sz w:val="18"/>
                <w:szCs w:val="18"/>
              </w:rPr>
              <w:t>7</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2FF37">
            <w:pPr>
              <w:widowControl/>
              <w:jc w:val="center"/>
              <w:textAlignment w:val="center"/>
              <w:rPr>
                <w:sz w:val="18"/>
                <w:szCs w:val="18"/>
              </w:rPr>
            </w:pPr>
            <w:r>
              <w:rPr>
                <w:kern w:val="0"/>
                <w:sz w:val="18"/>
                <w:szCs w:val="18"/>
              </w:rPr>
              <w:t>廉江市</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5BB5">
            <w:pPr>
              <w:widowControl/>
              <w:jc w:val="center"/>
              <w:textAlignment w:val="center"/>
              <w:rPr>
                <w:sz w:val="18"/>
                <w:szCs w:val="18"/>
              </w:rPr>
            </w:pPr>
            <w:r>
              <w:rPr>
                <w:kern w:val="0"/>
                <w:sz w:val="18"/>
                <w:szCs w:val="18"/>
              </w:rPr>
              <w:t>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75167">
            <w:pPr>
              <w:widowControl/>
              <w:jc w:val="center"/>
              <w:textAlignment w:val="center"/>
              <w:rPr>
                <w:sz w:val="18"/>
                <w:szCs w:val="18"/>
              </w:rPr>
            </w:pPr>
            <w:r>
              <w:rPr>
                <w:kern w:val="0"/>
                <w:sz w:val="18"/>
                <w:szCs w:val="18"/>
              </w:rPr>
              <w:t>0</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020D20">
            <w:pPr>
              <w:widowControl/>
              <w:jc w:val="center"/>
              <w:textAlignment w:val="center"/>
              <w:rPr>
                <w:sz w:val="18"/>
                <w:szCs w:val="18"/>
              </w:rPr>
            </w:pPr>
            <w:r>
              <w:rPr>
                <w:kern w:val="0"/>
                <w:sz w:val="18"/>
                <w:szCs w:val="18"/>
              </w:rPr>
              <w:t>8</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84F67">
            <w:pPr>
              <w:widowControl/>
              <w:jc w:val="center"/>
              <w:textAlignment w:val="center"/>
              <w:rPr>
                <w:sz w:val="18"/>
                <w:szCs w:val="18"/>
              </w:rPr>
            </w:pPr>
            <w:r>
              <w:rPr>
                <w:kern w:val="0"/>
                <w:sz w:val="18"/>
                <w:szCs w:val="18"/>
              </w:rPr>
              <w:t>7211</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D8B3A">
            <w:pPr>
              <w:widowControl/>
              <w:jc w:val="center"/>
              <w:textAlignment w:val="center"/>
              <w:rPr>
                <w:sz w:val="18"/>
                <w:szCs w:val="18"/>
              </w:rPr>
            </w:pPr>
            <w:r>
              <w:rPr>
                <w:kern w:val="0"/>
                <w:sz w:val="18"/>
                <w:szCs w:val="18"/>
              </w:rPr>
              <w:t>84</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B732">
            <w:pPr>
              <w:widowControl/>
              <w:jc w:val="center"/>
              <w:textAlignment w:val="center"/>
              <w:rPr>
                <w:sz w:val="18"/>
                <w:szCs w:val="18"/>
              </w:rPr>
            </w:pPr>
            <w:r>
              <w:rPr>
                <w:kern w:val="0"/>
                <w:sz w:val="18"/>
                <w:szCs w:val="18"/>
              </w:rPr>
              <w:t>2520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5A045">
            <w:pPr>
              <w:widowControl/>
              <w:jc w:val="center"/>
              <w:textAlignment w:val="center"/>
              <w:rPr>
                <w:sz w:val="18"/>
                <w:szCs w:val="18"/>
              </w:rPr>
            </w:pPr>
            <w:r>
              <w:rPr>
                <w:kern w:val="0"/>
                <w:sz w:val="18"/>
                <w:szCs w:val="18"/>
              </w:rPr>
              <w:t>480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2A2C4">
            <w:pPr>
              <w:widowControl/>
              <w:jc w:val="center"/>
              <w:textAlignment w:val="center"/>
              <w:rPr>
                <w:sz w:val="18"/>
                <w:szCs w:val="18"/>
              </w:rPr>
            </w:pPr>
            <w:r>
              <w:rPr>
                <w:kern w:val="0"/>
                <w:sz w:val="18"/>
                <w:szCs w:val="18"/>
              </w:rPr>
              <w:t>720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2E2C">
            <w:pPr>
              <w:widowControl/>
              <w:jc w:val="center"/>
              <w:textAlignment w:val="center"/>
              <w:rPr>
                <w:sz w:val="18"/>
                <w:szCs w:val="18"/>
              </w:rPr>
            </w:pPr>
            <w:r>
              <w:rPr>
                <w:kern w:val="0"/>
                <w:sz w:val="18"/>
                <w:szCs w:val="18"/>
              </w:rPr>
              <w:t>120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0F73B">
            <w:pPr>
              <w:widowControl/>
              <w:jc w:val="center"/>
              <w:textAlignment w:val="center"/>
              <w:rPr>
                <w:sz w:val="18"/>
                <w:szCs w:val="18"/>
              </w:rPr>
            </w:pPr>
            <w:r>
              <w:rPr>
                <w:kern w:val="0"/>
                <w:sz w:val="18"/>
                <w:szCs w:val="18"/>
              </w:rPr>
              <w:t>1200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21F3B">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3B80A">
            <w:pPr>
              <w:jc w:val="center"/>
              <w:rPr>
                <w:sz w:val="18"/>
                <w:szCs w:val="18"/>
              </w:rPr>
            </w:pPr>
          </w:p>
        </w:tc>
      </w:tr>
      <w:tr w14:paraId="5A9EFB59">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08DD1">
            <w:pPr>
              <w:widowControl/>
              <w:jc w:val="center"/>
              <w:textAlignment w:val="center"/>
              <w:rPr>
                <w:sz w:val="18"/>
                <w:szCs w:val="18"/>
              </w:rPr>
            </w:pPr>
            <w:r>
              <w:rPr>
                <w:kern w:val="0"/>
                <w:sz w:val="18"/>
                <w:szCs w:val="18"/>
              </w:rPr>
              <w:t>8</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DDC0E">
            <w:pPr>
              <w:widowControl/>
              <w:jc w:val="center"/>
              <w:textAlignment w:val="center"/>
              <w:rPr>
                <w:sz w:val="18"/>
                <w:szCs w:val="18"/>
              </w:rPr>
            </w:pPr>
            <w:r>
              <w:rPr>
                <w:kern w:val="0"/>
                <w:sz w:val="18"/>
                <w:szCs w:val="18"/>
              </w:rPr>
              <w:t>吴川市</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D0B31">
            <w:pPr>
              <w:widowControl/>
              <w:jc w:val="center"/>
              <w:textAlignment w:val="center"/>
              <w:rPr>
                <w:sz w:val="18"/>
                <w:szCs w:val="18"/>
              </w:rPr>
            </w:pPr>
            <w:r>
              <w:rPr>
                <w:kern w:val="0"/>
                <w:sz w:val="18"/>
                <w:szCs w:val="18"/>
              </w:rPr>
              <w:t>10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D7A5">
            <w:pPr>
              <w:widowControl/>
              <w:jc w:val="center"/>
              <w:textAlignment w:val="center"/>
              <w:rPr>
                <w:sz w:val="18"/>
                <w:szCs w:val="18"/>
              </w:rPr>
            </w:pPr>
            <w:r>
              <w:rPr>
                <w:kern w:val="0"/>
                <w:sz w:val="18"/>
                <w:szCs w:val="18"/>
              </w:rPr>
              <w:t>0</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8CD304">
            <w:pPr>
              <w:widowControl/>
              <w:jc w:val="center"/>
              <w:textAlignment w:val="center"/>
              <w:rPr>
                <w:sz w:val="18"/>
                <w:szCs w:val="18"/>
              </w:rPr>
            </w:pPr>
            <w:r>
              <w:rPr>
                <w:kern w:val="0"/>
                <w:sz w:val="18"/>
                <w:szCs w:val="18"/>
              </w:rPr>
              <w:t>10</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DE0B86">
            <w:pPr>
              <w:widowControl/>
              <w:jc w:val="center"/>
              <w:textAlignment w:val="center"/>
              <w:rPr>
                <w:sz w:val="18"/>
                <w:szCs w:val="18"/>
              </w:rPr>
            </w:pPr>
            <w:r>
              <w:rPr>
                <w:kern w:val="0"/>
                <w:sz w:val="18"/>
                <w:szCs w:val="18"/>
              </w:rPr>
              <w:t>10840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9B4887">
            <w:pPr>
              <w:widowControl/>
              <w:jc w:val="center"/>
              <w:textAlignment w:val="center"/>
              <w:rPr>
                <w:sz w:val="18"/>
                <w:szCs w:val="18"/>
              </w:rPr>
            </w:pPr>
            <w:r>
              <w:rPr>
                <w:kern w:val="0"/>
                <w:sz w:val="18"/>
                <w:szCs w:val="18"/>
              </w:rPr>
              <w:t>84</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A59CF">
            <w:pPr>
              <w:widowControl/>
              <w:jc w:val="center"/>
              <w:textAlignment w:val="center"/>
              <w:rPr>
                <w:sz w:val="18"/>
                <w:szCs w:val="18"/>
              </w:rPr>
            </w:pPr>
            <w:r>
              <w:rPr>
                <w:kern w:val="0"/>
                <w:sz w:val="18"/>
                <w:szCs w:val="18"/>
              </w:rPr>
              <w:t>2510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2EF1E">
            <w:pPr>
              <w:widowControl/>
              <w:jc w:val="center"/>
              <w:textAlignment w:val="center"/>
              <w:rPr>
                <w:sz w:val="18"/>
                <w:szCs w:val="18"/>
              </w:rPr>
            </w:pPr>
            <w:r>
              <w:rPr>
                <w:kern w:val="0"/>
                <w:sz w:val="18"/>
                <w:szCs w:val="18"/>
              </w:rPr>
              <w:t>420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AEE66">
            <w:pPr>
              <w:widowControl/>
              <w:jc w:val="center"/>
              <w:textAlignment w:val="center"/>
              <w:rPr>
                <w:sz w:val="18"/>
                <w:szCs w:val="18"/>
              </w:rPr>
            </w:pPr>
            <w:r>
              <w:rPr>
                <w:kern w:val="0"/>
                <w:sz w:val="18"/>
                <w:szCs w:val="18"/>
              </w:rPr>
              <w:t>620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916BF">
            <w:pPr>
              <w:widowControl/>
              <w:jc w:val="center"/>
              <w:textAlignment w:val="center"/>
              <w:rPr>
                <w:sz w:val="18"/>
                <w:szCs w:val="18"/>
              </w:rPr>
            </w:pPr>
            <w:r>
              <w:rPr>
                <w:kern w:val="0"/>
                <w:sz w:val="18"/>
                <w:szCs w:val="18"/>
              </w:rPr>
              <w:t>840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1FC57">
            <w:pPr>
              <w:widowControl/>
              <w:jc w:val="center"/>
              <w:textAlignment w:val="center"/>
              <w:rPr>
                <w:sz w:val="18"/>
                <w:szCs w:val="18"/>
              </w:rPr>
            </w:pPr>
            <w:r>
              <w:rPr>
                <w:kern w:val="0"/>
                <w:sz w:val="18"/>
                <w:szCs w:val="18"/>
              </w:rPr>
              <w:t>300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89131">
            <w:pPr>
              <w:widowControl/>
              <w:jc w:val="center"/>
              <w:textAlignment w:val="center"/>
              <w:rPr>
                <w:sz w:val="18"/>
                <w:szCs w:val="18"/>
              </w:rPr>
            </w:pPr>
            <w:r>
              <w:rPr>
                <w:kern w:val="0"/>
                <w:sz w:val="18"/>
                <w:szCs w:val="18"/>
              </w:rPr>
              <w:t>330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4C726">
            <w:pPr>
              <w:jc w:val="center"/>
              <w:rPr>
                <w:sz w:val="18"/>
                <w:szCs w:val="18"/>
              </w:rPr>
            </w:pPr>
          </w:p>
        </w:tc>
      </w:tr>
      <w:tr w14:paraId="04E2487C">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46F5">
            <w:pPr>
              <w:widowControl/>
              <w:jc w:val="center"/>
              <w:textAlignment w:val="center"/>
              <w:rPr>
                <w:sz w:val="18"/>
                <w:szCs w:val="18"/>
              </w:rPr>
            </w:pPr>
            <w:r>
              <w:rPr>
                <w:kern w:val="0"/>
                <w:sz w:val="18"/>
                <w:szCs w:val="18"/>
              </w:rPr>
              <w:t>9</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5E61">
            <w:pPr>
              <w:widowControl/>
              <w:jc w:val="center"/>
              <w:textAlignment w:val="center"/>
              <w:rPr>
                <w:sz w:val="18"/>
                <w:szCs w:val="18"/>
              </w:rPr>
            </w:pPr>
            <w:r>
              <w:rPr>
                <w:kern w:val="0"/>
                <w:sz w:val="18"/>
                <w:szCs w:val="18"/>
              </w:rPr>
              <w:t>遂溪县</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19DE9">
            <w:pPr>
              <w:widowControl/>
              <w:jc w:val="center"/>
              <w:textAlignment w:val="center"/>
              <w:rPr>
                <w:sz w:val="18"/>
                <w:szCs w:val="18"/>
              </w:rPr>
            </w:pPr>
            <w:r>
              <w:rPr>
                <w:kern w:val="0"/>
                <w:sz w:val="18"/>
                <w:szCs w:val="18"/>
              </w:rPr>
              <w:t>7</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EFE5F">
            <w:pPr>
              <w:widowControl/>
              <w:jc w:val="center"/>
              <w:textAlignment w:val="center"/>
              <w:rPr>
                <w:sz w:val="18"/>
                <w:szCs w:val="18"/>
              </w:rPr>
            </w:pPr>
            <w:r>
              <w:rPr>
                <w:kern w:val="0"/>
                <w:sz w:val="18"/>
                <w:szCs w:val="18"/>
              </w:rPr>
              <w:t>0</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D51D34">
            <w:pPr>
              <w:widowControl/>
              <w:jc w:val="center"/>
              <w:textAlignment w:val="center"/>
              <w:rPr>
                <w:sz w:val="18"/>
                <w:szCs w:val="18"/>
              </w:rPr>
            </w:pPr>
            <w:r>
              <w:rPr>
                <w:kern w:val="0"/>
                <w:sz w:val="18"/>
                <w:szCs w:val="18"/>
              </w:rPr>
              <w:t>7</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20B2">
            <w:pPr>
              <w:widowControl/>
              <w:jc w:val="center"/>
              <w:textAlignment w:val="center"/>
              <w:rPr>
                <w:sz w:val="18"/>
                <w:szCs w:val="18"/>
              </w:rPr>
            </w:pPr>
            <w:r>
              <w:rPr>
                <w:kern w:val="0"/>
                <w:sz w:val="18"/>
                <w:szCs w:val="18"/>
              </w:rPr>
              <w:t>3913</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DCA9F">
            <w:pPr>
              <w:widowControl/>
              <w:jc w:val="center"/>
              <w:textAlignment w:val="center"/>
              <w:rPr>
                <w:sz w:val="18"/>
                <w:szCs w:val="18"/>
              </w:rPr>
            </w:pPr>
            <w:r>
              <w:rPr>
                <w:kern w:val="0"/>
                <w:sz w:val="18"/>
                <w:szCs w:val="18"/>
              </w:rPr>
              <w:t>46</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1D036">
            <w:pPr>
              <w:widowControl/>
              <w:jc w:val="center"/>
              <w:textAlignment w:val="center"/>
              <w:rPr>
                <w:sz w:val="18"/>
                <w:szCs w:val="18"/>
              </w:rPr>
            </w:pPr>
            <w:r>
              <w:rPr>
                <w:kern w:val="0"/>
                <w:sz w:val="18"/>
                <w:szCs w:val="18"/>
              </w:rPr>
              <w:t>1380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72B0">
            <w:pPr>
              <w:widowControl/>
              <w:jc w:val="center"/>
              <w:textAlignment w:val="center"/>
              <w:rPr>
                <w:sz w:val="18"/>
                <w:szCs w:val="18"/>
              </w:rPr>
            </w:pPr>
            <w:r>
              <w:rPr>
                <w:kern w:val="0"/>
                <w:sz w:val="18"/>
                <w:szCs w:val="18"/>
              </w:rPr>
              <w:t>270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08262">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FE6EF">
            <w:pPr>
              <w:widowControl/>
              <w:jc w:val="center"/>
              <w:textAlignment w:val="center"/>
              <w:rPr>
                <w:sz w:val="18"/>
                <w:szCs w:val="18"/>
              </w:rPr>
            </w:pPr>
            <w:r>
              <w:rPr>
                <w:kern w:val="0"/>
                <w:sz w:val="18"/>
                <w:szCs w:val="18"/>
              </w:rPr>
              <w:t>660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CA0F4">
            <w:pPr>
              <w:widowControl/>
              <w:jc w:val="center"/>
              <w:textAlignment w:val="center"/>
              <w:rPr>
                <w:sz w:val="18"/>
                <w:szCs w:val="18"/>
              </w:rPr>
            </w:pPr>
            <w:r>
              <w:rPr>
                <w:kern w:val="0"/>
                <w:sz w:val="18"/>
                <w:szCs w:val="18"/>
              </w:rPr>
              <w:t>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04901">
            <w:pPr>
              <w:widowControl/>
              <w:jc w:val="center"/>
              <w:textAlignment w:val="center"/>
              <w:rPr>
                <w:sz w:val="18"/>
                <w:szCs w:val="18"/>
              </w:rPr>
            </w:pPr>
            <w:r>
              <w:rPr>
                <w:kern w:val="0"/>
                <w:sz w:val="18"/>
                <w:szCs w:val="18"/>
              </w:rPr>
              <w:t>450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895A">
            <w:pPr>
              <w:jc w:val="center"/>
              <w:rPr>
                <w:sz w:val="18"/>
                <w:szCs w:val="18"/>
              </w:rPr>
            </w:pPr>
          </w:p>
        </w:tc>
      </w:tr>
      <w:tr w14:paraId="0B50B69B">
        <w:tblPrEx>
          <w:tblCellMar>
            <w:top w:w="0" w:type="dxa"/>
            <w:left w:w="108" w:type="dxa"/>
            <w:bottom w:w="0" w:type="dxa"/>
            <w:right w:w="108" w:type="dxa"/>
          </w:tblCellMar>
        </w:tblPrEx>
        <w:trPr>
          <w:trHeight w:val="41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DA68D">
            <w:pPr>
              <w:widowControl/>
              <w:jc w:val="center"/>
              <w:textAlignment w:val="center"/>
              <w:rPr>
                <w:sz w:val="18"/>
                <w:szCs w:val="18"/>
              </w:rPr>
            </w:pPr>
            <w:r>
              <w:rPr>
                <w:kern w:val="0"/>
                <w:sz w:val="18"/>
                <w:szCs w:val="18"/>
              </w:rPr>
              <w:t>10</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87CC1">
            <w:pPr>
              <w:widowControl/>
              <w:jc w:val="center"/>
              <w:textAlignment w:val="center"/>
              <w:rPr>
                <w:sz w:val="18"/>
                <w:szCs w:val="18"/>
              </w:rPr>
            </w:pPr>
            <w:r>
              <w:rPr>
                <w:kern w:val="0"/>
                <w:sz w:val="18"/>
                <w:szCs w:val="18"/>
              </w:rPr>
              <w:t>徐闻县</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40B98">
            <w:pPr>
              <w:widowControl/>
              <w:jc w:val="center"/>
              <w:textAlignment w:val="center"/>
              <w:rPr>
                <w:sz w:val="18"/>
                <w:szCs w:val="18"/>
              </w:rPr>
            </w:pPr>
            <w:r>
              <w:rPr>
                <w:kern w:val="0"/>
                <w:sz w:val="18"/>
                <w:szCs w:val="18"/>
              </w:rPr>
              <w:t>5</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CD30">
            <w:pPr>
              <w:widowControl/>
              <w:jc w:val="center"/>
              <w:textAlignment w:val="center"/>
              <w:rPr>
                <w:sz w:val="18"/>
                <w:szCs w:val="18"/>
              </w:rPr>
            </w:pPr>
            <w:r>
              <w:rPr>
                <w:kern w:val="0"/>
                <w:sz w:val="18"/>
                <w:szCs w:val="18"/>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D857EB">
            <w:pPr>
              <w:widowControl/>
              <w:jc w:val="center"/>
              <w:textAlignment w:val="center"/>
              <w:rPr>
                <w:sz w:val="18"/>
                <w:szCs w:val="18"/>
              </w:rPr>
            </w:pPr>
            <w:r>
              <w:rPr>
                <w:kern w:val="0"/>
                <w:sz w:val="18"/>
                <w:szCs w:val="18"/>
              </w:rPr>
              <w:t>6</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3CFA8">
            <w:pPr>
              <w:widowControl/>
              <w:jc w:val="center"/>
              <w:textAlignment w:val="center"/>
              <w:rPr>
                <w:sz w:val="18"/>
                <w:szCs w:val="18"/>
              </w:rPr>
            </w:pPr>
            <w:r>
              <w:rPr>
                <w:kern w:val="0"/>
                <w:sz w:val="18"/>
                <w:szCs w:val="18"/>
              </w:rPr>
              <w:t>20300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02AC8">
            <w:pPr>
              <w:widowControl/>
              <w:jc w:val="center"/>
              <w:textAlignment w:val="center"/>
              <w:rPr>
                <w:sz w:val="18"/>
                <w:szCs w:val="18"/>
              </w:rPr>
            </w:pPr>
            <w:r>
              <w:rPr>
                <w:kern w:val="0"/>
                <w:sz w:val="18"/>
                <w:szCs w:val="18"/>
              </w:rPr>
              <w:t>87</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7F4B1">
            <w:pPr>
              <w:widowControl/>
              <w:jc w:val="center"/>
              <w:textAlignment w:val="center"/>
              <w:rPr>
                <w:sz w:val="18"/>
                <w:szCs w:val="18"/>
              </w:rPr>
            </w:pPr>
            <w:r>
              <w:rPr>
                <w:kern w:val="0"/>
                <w:sz w:val="18"/>
                <w:szCs w:val="18"/>
              </w:rPr>
              <w:t>2600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CA783">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8C195">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FEC7">
            <w:pPr>
              <w:widowControl/>
              <w:jc w:val="center"/>
              <w:textAlignment w:val="center"/>
              <w:rPr>
                <w:sz w:val="18"/>
                <w:szCs w:val="18"/>
              </w:rPr>
            </w:pPr>
            <w:r>
              <w:rPr>
                <w:kern w:val="0"/>
                <w:sz w:val="18"/>
                <w:szCs w:val="18"/>
              </w:rPr>
              <w:t>1280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28E73">
            <w:pPr>
              <w:widowControl/>
              <w:jc w:val="center"/>
              <w:textAlignment w:val="center"/>
              <w:rPr>
                <w:sz w:val="18"/>
                <w:szCs w:val="18"/>
              </w:rPr>
            </w:pPr>
            <w:r>
              <w:rPr>
                <w:kern w:val="0"/>
                <w:sz w:val="18"/>
                <w:szCs w:val="18"/>
              </w:rPr>
              <w:t>780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752FD">
            <w:pPr>
              <w:widowControl/>
              <w:jc w:val="center"/>
              <w:textAlignment w:val="center"/>
              <w:rPr>
                <w:sz w:val="18"/>
                <w:szCs w:val="18"/>
              </w:rPr>
            </w:pPr>
            <w:r>
              <w:rPr>
                <w:kern w:val="0"/>
                <w:sz w:val="18"/>
                <w:szCs w:val="18"/>
              </w:rPr>
              <w:t>540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DA2F9">
            <w:pPr>
              <w:jc w:val="center"/>
              <w:rPr>
                <w:sz w:val="18"/>
                <w:szCs w:val="18"/>
              </w:rPr>
            </w:pPr>
          </w:p>
        </w:tc>
      </w:tr>
      <w:tr w14:paraId="77FAC73E">
        <w:tblPrEx>
          <w:tblCellMar>
            <w:top w:w="0" w:type="dxa"/>
            <w:left w:w="108" w:type="dxa"/>
            <w:bottom w:w="0" w:type="dxa"/>
            <w:right w:w="108" w:type="dxa"/>
          </w:tblCellMar>
        </w:tblPrEx>
        <w:trPr>
          <w:trHeight w:val="930" w:hRule="atLeast"/>
        </w:trPr>
        <w:tc>
          <w:tcPr>
            <w:tcW w:w="13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6A135">
            <w:pPr>
              <w:widowControl/>
              <w:jc w:val="center"/>
              <w:textAlignment w:val="center"/>
              <w:rPr>
                <w:b/>
                <w:sz w:val="18"/>
                <w:szCs w:val="18"/>
              </w:rPr>
            </w:pPr>
            <w:r>
              <w:rPr>
                <w:b/>
                <w:kern w:val="0"/>
                <w:sz w:val="18"/>
                <w:szCs w:val="18"/>
              </w:rPr>
              <w:t>汇总</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4ADF9">
            <w:pPr>
              <w:widowControl/>
              <w:jc w:val="center"/>
              <w:textAlignment w:val="center"/>
              <w:rPr>
                <w:b/>
                <w:sz w:val="18"/>
                <w:szCs w:val="18"/>
              </w:rPr>
            </w:pPr>
            <w:r>
              <w:rPr>
                <w:b/>
                <w:color w:val="000000"/>
                <w:kern w:val="0"/>
                <w:sz w:val="18"/>
                <w:szCs w:val="18"/>
                <w:lang w:bidi="ar"/>
              </w:rPr>
              <w:t>38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54F96">
            <w:pPr>
              <w:widowControl/>
              <w:jc w:val="center"/>
              <w:textAlignment w:val="center"/>
              <w:rPr>
                <w:b/>
                <w:sz w:val="18"/>
                <w:szCs w:val="18"/>
              </w:rPr>
            </w:pPr>
            <w:r>
              <w:rPr>
                <w:b/>
                <w:color w:val="000000"/>
                <w:kern w:val="0"/>
                <w:sz w:val="18"/>
                <w:szCs w:val="18"/>
                <w:lang w:bidi="ar"/>
              </w:rPr>
              <w:t>19</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B6D2">
            <w:pPr>
              <w:widowControl/>
              <w:jc w:val="center"/>
              <w:textAlignment w:val="center"/>
              <w:rPr>
                <w:b/>
                <w:sz w:val="18"/>
                <w:szCs w:val="18"/>
              </w:rPr>
            </w:pPr>
            <w:r>
              <w:rPr>
                <w:b/>
                <w:color w:val="000000"/>
                <w:kern w:val="0"/>
                <w:sz w:val="18"/>
                <w:szCs w:val="18"/>
                <w:lang w:bidi="ar"/>
              </w:rPr>
              <w:t>57</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32D9">
            <w:pPr>
              <w:widowControl/>
              <w:jc w:val="center"/>
              <w:textAlignment w:val="center"/>
              <w:rPr>
                <w:b/>
                <w:sz w:val="18"/>
                <w:szCs w:val="18"/>
              </w:rPr>
            </w:pPr>
            <w:r>
              <w:rPr>
                <w:b/>
                <w:color w:val="000000"/>
                <w:kern w:val="0"/>
                <w:sz w:val="18"/>
                <w:szCs w:val="18"/>
                <w:lang w:bidi="ar"/>
              </w:rPr>
              <w:t>86479</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92927">
            <w:pPr>
              <w:widowControl/>
              <w:jc w:val="center"/>
              <w:textAlignment w:val="center"/>
              <w:rPr>
                <w:b/>
                <w:sz w:val="18"/>
                <w:szCs w:val="18"/>
              </w:rPr>
            </w:pPr>
            <w:r>
              <w:rPr>
                <w:b/>
                <w:color w:val="000000"/>
                <w:kern w:val="0"/>
                <w:sz w:val="18"/>
                <w:szCs w:val="18"/>
                <w:lang w:bidi="ar"/>
              </w:rPr>
              <w:t>580</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3452A">
            <w:pPr>
              <w:widowControl/>
              <w:jc w:val="center"/>
              <w:textAlignment w:val="center"/>
              <w:rPr>
                <w:b/>
                <w:sz w:val="18"/>
                <w:szCs w:val="18"/>
              </w:rPr>
            </w:pPr>
            <w:r>
              <w:rPr>
                <w:b/>
                <w:color w:val="000000"/>
                <w:kern w:val="0"/>
                <w:sz w:val="18"/>
                <w:szCs w:val="18"/>
                <w:lang w:bidi="ar"/>
              </w:rPr>
              <w:t>17380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C79CD">
            <w:pPr>
              <w:widowControl/>
              <w:jc w:val="center"/>
              <w:textAlignment w:val="center"/>
              <w:rPr>
                <w:b/>
                <w:sz w:val="18"/>
                <w:szCs w:val="18"/>
              </w:rPr>
            </w:pPr>
            <w:r>
              <w:rPr>
                <w:b/>
                <w:color w:val="000000"/>
                <w:kern w:val="0"/>
                <w:sz w:val="18"/>
                <w:szCs w:val="18"/>
                <w:lang w:bidi="ar"/>
              </w:rPr>
              <w:t>3060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5204">
            <w:pPr>
              <w:widowControl/>
              <w:jc w:val="center"/>
              <w:textAlignment w:val="center"/>
              <w:rPr>
                <w:b/>
                <w:sz w:val="18"/>
                <w:szCs w:val="18"/>
              </w:rPr>
            </w:pPr>
            <w:r>
              <w:rPr>
                <w:b/>
                <w:color w:val="000000"/>
                <w:kern w:val="0"/>
                <w:sz w:val="18"/>
                <w:szCs w:val="18"/>
                <w:lang w:bidi="ar"/>
              </w:rPr>
              <w:t>2180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5716">
            <w:pPr>
              <w:widowControl/>
              <w:jc w:val="center"/>
              <w:textAlignment w:val="center"/>
              <w:rPr>
                <w:b/>
                <w:sz w:val="18"/>
                <w:szCs w:val="18"/>
              </w:rPr>
            </w:pPr>
            <w:r>
              <w:rPr>
                <w:b/>
                <w:color w:val="000000"/>
                <w:kern w:val="0"/>
                <w:sz w:val="18"/>
                <w:szCs w:val="18"/>
                <w:lang w:bidi="ar"/>
              </w:rPr>
              <w:t>4490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FA489">
            <w:pPr>
              <w:widowControl/>
              <w:jc w:val="center"/>
              <w:textAlignment w:val="center"/>
              <w:rPr>
                <w:b/>
                <w:sz w:val="18"/>
                <w:szCs w:val="18"/>
              </w:rPr>
            </w:pPr>
            <w:r>
              <w:rPr>
                <w:b/>
                <w:color w:val="000000"/>
                <w:kern w:val="0"/>
                <w:sz w:val="18"/>
                <w:szCs w:val="18"/>
                <w:lang w:bidi="ar"/>
              </w:rPr>
              <w:t>5070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534A7">
            <w:pPr>
              <w:widowControl/>
              <w:jc w:val="center"/>
              <w:textAlignment w:val="center"/>
              <w:rPr>
                <w:b/>
                <w:sz w:val="18"/>
                <w:szCs w:val="18"/>
              </w:rPr>
            </w:pPr>
            <w:r>
              <w:rPr>
                <w:b/>
                <w:color w:val="000000"/>
                <w:kern w:val="0"/>
                <w:sz w:val="18"/>
                <w:szCs w:val="18"/>
                <w:lang w:bidi="ar"/>
              </w:rPr>
              <w:t>2580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1D7A7F">
            <w:pPr>
              <w:widowControl/>
              <w:jc w:val="center"/>
              <w:textAlignment w:val="center"/>
              <w:rPr>
                <w:b/>
                <w:sz w:val="18"/>
                <w:szCs w:val="18"/>
              </w:rPr>
            </w:pPr>
            <w:r>
              <w:rPr>
                <w:b/>
                <w:kern w:val="0"/>
                <w:sz w:val="18"/>
                <w:szCs w:val="18"/>
              </w:rPr>
              <w:t>省要求：1.21万个学位</w:t>
            </w:r>
          </w:p>
        </w:tc>
      </w:tr>
    </w:tbl>
    <w:p w14:paraId="5ACE2D86">
      <w:pPr>
        <w:spacing w:line="570" w:lineRule="exact"/>
        <w:ind w:firstLine="640" w:firstLineChars="200"/>
        <w:rPr>
          <w:rFonts w:eastAsia="黑体"/>
          <w:sz w:val="32"/>
          <w:szCs w:val="32"/>
        </w:rPr>
      </w:pPr>
      <w:r>
        <w:rPr>
          <w:rFonts w:eastAsia="黑体"/>
          <w:sz w:val="32"/>
          <w:szCs w:val="32"/>
        </w:rPr>
        <w:t>二、任务和措施</w:t>
      </w:r>
    </w:p>
    <w:p w14:paraId="777A2D87">
      <w:pPr>
        <w:spacing w:line="570" w:lineRule="exact"/>
        <w:ind w:firstLine="640" w:firstLineChars="200"/>
        <w:rPr>
          <w:rFonts w:eastAsia="楷体_GB2312"/>
          <w:sz w:val="32"/>
          <w:szCs w:val="32"/>
        </w:rPr>
      </w:pPr>
      <w:r>
        <w:rPr>
          <w:rFonts w:eastAsia="楷体_GB2312"/>
          <w:sz w:val="32"/>
          <w:szCs w:val="32"/>
        </w:rPr>
        <w:t>（一）优化学前教育发展规划</w:t>
      </w:r>
    </w:p>
    <w:p w14:paraId="2453F9ED">
      <w:pPr>
        <w:spacing w:line="570" w:lineRule="exact"/>
        <w:ind w:firstLine="640" w:firstLineChars="200"/>
        <w:rPr>
          <w:rFonts w:eastAsia="仿宋_GB2312"/>
          <w:bCs/>
          <w:color w:val="FF0000"/>
          <w:sz w:val="32"/>
          <w:szCs w:val="32"/>
        </w:rPr>
      </w:pPr>
      <w:r>
        <w:rPr>
          <w:rFonts w:eastAsia="仿宋_GB2312"/>
          <w:bCs/>
          <w:sz w:val="32"/>
          <w:szCs w:val="32"/>
        </w:rPr>
        <w:t>我市根据省下达的学位建设任务，</w:t>
      </w:r>
      <w:r>
        <w:rPr>
          <w:rFonts w:eastAsia="仿宋_GB2312"/>
          <w:kern w:val="0"/>
          <w:sz w:val="32"/>
          <w:szCs w:val="32"/>
        </w:rPr>
        <w:t>统筹考虑城镇化进程、常住人口规模、学龄人口变化趋势、巩固“5080”成果等因素，参照城镇幼儿园千人学位数不低于40座的标准科学测算学位需求，延续编制我市“十四五”期间公办园学位建设专项规划和分年度实施计划，</w:t>
      </w:r>
      <w:r>
        <w:rPr>
          <w:rFonts w:eastAsia="仿宋_GB2312"/>
          <w:bCs/>
          <w:sz w:val="32"/>
          <w:szCs w:val="32"/>
        </w:rPr>
        <w:t>各县（市、区）政府（管委会）编制分年度专项规划，</w:t>
      </w:r>
      <w:r>
        <w:rPr>
          <w:rFonts w:eastAsia="仿宋_GB2312"/>
          <w:kern w:val="0"/>
          <w:sz w:val="32"/>
          <w:szCs w:val="32"/>
        </w:rPr>
        <w:t>各地应将农村学前教育纳入乡村振兴战略规划体系</w:t>
      </w:r>
      <w:r>
        <w:rPr>
          <w:rFonts w:eastAsia="仿宋_GB2312"/>
          <w:bCs/>
          <w:sz w:val="32"/>
          <w:szCs w:val="32"/>
        </w:rPr>
        <w:t>。落实专项规划与国土空间规划的衔接，切实保障普惠性幼儿园建设用地空间，确保优先建设。</w:t>
      </w:r>
      <w:r>
        <w:rPr>
          <w:rFonts w:eastAsia="仿宋_GB2312"/>
          <w:kern w:val="0"/>
          <w:sz w:val="32"/>
          <w:szCs w:val="32"/>
        </w:rPr>
        <w:t>城市居住区、异地搬迁安置区建设与人口规模相适应的幼儿园，产权及时移交当地政府。加强幼儿园随班就读资源教室建设</w:t>
      </w:r>
      <w:r>
        <w:rPr>
          <w:rFonts w:eastAsia="仿宋_GB2312"/>
          <w:sz w:val="32"/>
          <w:szCs w:val="32"/>
        </w:rPr>
        <w:t>，</w:t>
      </w:r>
      <w:r>
        <w:rPr>
          <w:rFonts w:eastAsia="仿宋_GB2312"/>
          <w:kern w:val="0"/>
          <w:sz w:val="32"/>
          <w:szCs w:val="32"/>
        </w:rPr>
        <w:t>支持县（市</w:t>
      </w:r>
      <w:r>
        <w:rPr>
          <w:rFonts w:eastAsia="仿宋_GB2312"/>
          <w:kern w:val="0"/>
          <w:sz w:val="32"/>
          <w:szCs w:val="32"/>
          <w:shd w:val="clear" w:color="auto" w:fill="FFFFFF"/>
        </w:rPr>
        <w:t>、</w:t>
      </w:r>
      <w:r>
        <w:rPr>
          <w:rFonts w:eastAsia="仿宋_GB2312"/>
          <w:kern w:val="0"/>
          <w:sz w:val="32"/>
          <w:szCs w:val="32"/>
        </w:rPr>
        <w:t>区）特殊教育学校增设</w:t>
      </w:r>
      <w:r>
        <w:rPr>
          <w:rFonts w:eastAsia="仿宋_GB2312"/>
          <w:sz w:val="32"/>
          <w:szCs w:val="32"/>
        </w:rPr>
        <w:t>学前部或</w:t>
      </w:r>
      <w:r>
        <w:rPr>
          <w:rFonts w:eastAsia="仿宋_GB2312"/>
          <w:kern w:val="0"/>
          <w:sz w:val="32"/>
          <w:szCs w:val="32"/>
        </w:rPr>
        <w:t>附设幼儿园。</w:t>
      </w:r>
      <w:r>
        <w:rPr>
          <w:rFonts w:eastAsia="仿宋_GB2312"/>
          <w:bCs/>
          <w:sz w:val="32"/>
          <w:szCs w:val="32"/>
        </w:rPr>
        <w:t>鼓励新建幼儿园设置适当比例的幼儿托班，支持有条件的幼儿园利用开设托班，招收2-3岁婴幼儿。</w:t>
      </w:r>
    </w:p>
    <w:p w14:paraId="2056D72C">
      <w:pPr>
        <w:spacing w:line="570" w:lineRule="exact"/>
        <w:ind w:firstLine="640" w:firstLineChars="200"/>
        <w:rPr>
          <w:rFonts w:eastAsia="楷体_GB2312"/>
          <w:sz w:val="32"/>
          <w:szCs w:val="32"/>
        </w:rPr>
      </w:pPr>
      <w:r>
        <w:rPr>
          <w:rFonts w:eastAsia="楷体_GB2312"/>
          <w:sz w:val="32"/>
          <w:szCs w:val="32"/>
        </w:rPr>
        <w:t>（二）扩大普惠性学前教育资源</w:t>
      </w:r>
    </w:p>
    <w:p w14:paraId="7170F81B">
      <w:pPr>
        <w:spacing w:line="570" w:lineRule="exact"/>
        <w:ind w:firstLine="643" w:firstLineChars="200"/>
        <w:rPr>
          <w:rFonts w:eastAsia="仿宋_GB2312"/>
          <w:color w:val="FF0000"/>
          <w:sz w:val="32"/>
          <w:szCs w:val="32"/>
        </w:rPr>
      </w:pPr>
      <w:r>
        <w:rPr>
          <w:rFonts w:eastAsia="仿宋_GB2312"/>
          <w:b/>
          <w:bCs/>
          <w:sz w:val="32"/>
          <w:szCs w:val="32"/>
        </w:rPr>
        <w:t>1.</w:t>
      </w:r>
      <w:r>
        <w:rPr>
          <w:rFonts w:eastAsia="仿宋_GB2312"/>
          <w:bCs/>
          <w:sz w:val="32"/>
          <w:szCs w:val="32"/>
        </w:rPr>
        <w:t>实施公办园建设工程。</w:t>
      </w:r>
      <w:r>
        <w:rPr>
          <w:rFonts w:eastAsia="仿宋_GB2312"/>
          <w:sz w:val="32"/>
          <w:szCs w:val="32"/>
        </w:rPr>
        <w:t>各县（区、市）合理确定公办幼儿园的布局，通过新建、改扩建、回收、改制等方式，逐年新增一批公办幼儿园，十四五期间新建、改扩建57所公办园，增加17380个公办学位,</w:t>
      </w:r>
      <w:r>
        <w:rPr>
          <w:rFonts w:eastAsia="仿宋_GB2312"/>
          <w:kern w:val="0"/>
          <w:sz w:val="32"/>
          <w:szCs w:val="32"/>
        </w:rPr>
        <w:t>力争1个以上县（市、区）通过县域学前教育普及普惠国家督导评估</w:t>
      </w:r>
      <w:r>
        <w:rPr>
          <w:rFonts w:eastAsia="仿宋_GB2312"/>
          <w:sz w:val="32"/>
          <w:szCs w:val="32"/>
        </w:rPr>
        <w:t>。每个乡镇建有1所以上规范化公办中心幼儿园，</w:t>
      </w:r>
      <w:r>
        <w:rPr>
          <w:rFonts w:eastAsia="仿宋_GB2312"/>
          <w:bCs/>
          <w:sz w:val="32"/>
          <w:szCs w:val="32"/>
        </w:rPr>
        <w:t>每个街道设置1所规范化公办园</w:t>
      </w:r>
      <w:r>
        <w:rPr>
          <w:rFonts w:eastAsia="仿宋_GB2312"/>
          <w:sz w:val="32"/>
          <w:szCs w:val="32"/>
        </w:rPr>
        <w:t>；常住人口4000人以上的行政村举办规范化普惠性幼儿园，常住人口不足4000人的行政村设分园或联合办园，</w:t>
      </w:r>
      <w:r>
        <w:rPr>
          <w:rFonts w:eastAsia="仿宋_GB2312"/>
          <w:kern w:val="0"/>
          <w:sz w:val="32"/>
          <w:szCs w:val="32"/>
        </w:rPr>
        <w:t>规范</w:t>
      </w:r>
      <w:r>
        <w:rPr>
          <w:rFonts w:eastAsia="仿宋_GB2312"/>
          <w:kern w:val="0"/>
          <w:sz w:val="32"/>
          <w:szCs w:val="32"/>
          <w:lang w:eastAsia="zh-Hans"/>
        </w:rPr>
        <w:t>化村级幼儿园</w:t>
      </w:r>
      <w:r>
        <w:rPr>
          <w:rFonts w:eastAsia="仿宋_GB2312"/>
          <w:kern w:val="0"/>
          <w:sz w:val="32"/>
          <w:szCs w:val="32"/>
        </w:rPr>
        <w:t>实现全覆盖</w:t>
      </w:r>
      <w:r>
        <w:rPr>
          <w:rFonts w:eastAsia="仿宋_GB2312"/>
          <w:sz w:val="32"/>
          <w:szCs w:val="32"/>
        </w:rPr>
        <w:t>。优先将中小学布局调整后的富余教育资源和其他富余公共教育资源用于举办公办幼儿园。</w:t>
      </w:r>
      <w:r>
        <w:rPr>
          <w:rFonts w:eastAsia="仿宋_GB2312"/>
          <w:kern w:val="0"/>
          <w:sz w:val="32"/>
          <w:szCs w:val="32"/>
        </w:rPr>
        <w:t>落实财政补助、划拨方式供地、减免税费和租金等政策，</w:t>
      </w:r>
      <w:r>
        <w:rPr>
          <w:rFonts w:eastAsia="仿宋_GB2312"/>
          <w:sz w:val="32"/>
          <w:szCs w:val="32"/>
        </w:rPr>
        <w:t>鼓励和支持政府机关、国有企事业单位、军队、社会团体、街道、村集体举办公办幼儿园，经教育行政部门审批设立且符合条件的，可依法申办事业单位法人登记。探索出台支持国有企事业单位和集体办园的政策措施，提高其面向社会提供公共服务的能力。</w:t>
      </w:r>
      <w:r>
        <w:rPr>
          <w:rFonts w:eastAsia="仿宋_GB2312"/>
          <w:color w:val="FF0000"/>
          <w:kern w:val="0"/>
          <w:sz w:val="32"/>
          <w:szCs w:val="32"/>
          <w:shd w:val="clear" w:color="auto" w:fill="FFFFFF"/>
        </w:rPr>
        <w:t xml:space="preserve"> </w:t>
      </w:r>
    </w:p>
    <w:p w14:paraId="181EC8DF">
      <w:pPr>
        <w:spacing w:line="570" w:lineRule="exact"/>
        <w:ind w:firstLine="640" w:firstLineChars="200"/>
        <w:rPr>
          <w:rFonts w:eastAsia="仿宋_GB2312"/>
          <w:bCs/>
          <w:color w:val="FF0000"/>
          <w:sz w:val="32"/>
          <w:szCs w:val="32"/>
        </w:rPr>
      </w:pPr>
      <w:r>
        <w:rPr>
          <w:rFonts w:eastAsia="仿宋_GB2312"/>
          <w:bCs/>
          <w:sz w:val="32"/>
          <w:szCs w:val="32"/>
        </w:rPr>
        <w:t>2.落实小区配套幼儿园建设及管理办法。落实</w:t>
      </w:r>
      <w:r>
        <w:rPr>
          <w:rFonts w:eastAsia="仿宋_GB2312"/>
          <w:kern w:val="0"/>
          <w:sz w:val="32"/>
          <w:szCs w:val="32"/>
        </w:rPr>
        <w:t>《广东省加强住宅小区配套幼儿园建设和管理工作的指导意见》</w:t>
      </w:r>
      <w:r>
        <w:rPr>
          <w:rFonts w:eastAsia="仿宋_GB2312"/>
          <w:sz w:val="32"/>
          <w:szCs w:val="32"/>
        </w:rPr>
        <w:t>《湛江市配套建设教育设施管理办法》，</w:t>
      </w:r>
      <w:r>
        <w:rPr>
          <w:rFonts w:eastAsia="仿宋_GB2312"/>
          <w:kern w:val="0"/>
          <w:sz w:val="32"/>
          <w:szCs w:val="32"/>
        </w:rPr>
        <w:t>新建住宅小区按标准配建为公办幼儿园，在国有土地出让、“三旧”改造项目审批、住宅小区规划审批等方面按规定落实配建幼儿园设施，在国有土地出让合同、规划条件、监管协议中均明确配建幼儿园设施必须“五同步”，即同步规划、同步设计、同步建设、同步竣工、同步交付使用。对各县（市、区）城镇小区配套幼儿园治理成效进行全面复查，坚决防止出现反弹。</w:t>
      </w:r>
    </w:p>
    <w:p w14:paraId="3C9379AB">
      <w:pPr>
        <w:spacing w:line="570" w:lineRule="exact"/>
        <w:ind w:firstLine="640" w:firstLineChars="200"/>
        <w:rPr>
          <w:rFonts w:eastAsia="仿宋_GB2312"/>
          <w:bCs/>
          <w:sz w:val="32"/>
          <w:szCs w:val="32"/>
        </w:rPr>
      </w:pPr>
      <w:r>
        <w:rPr>
          <w:rFonts w:eastAsia="仿宋_GB2312"/>
          <w:bCs/>
          <w:sz w:val="32"/>
          <w:szCs w:val="32"/>
        </w:rPr>
        <w:t>3.进一步发展普惠性民办园。贯彻落实《广东省普惠性民办幼儿园认定、扶持和管理办法》《关于开展我市普惠性民办幼儿园认定工作的通知》，各县（市、区）要根据实际情况建立健全普惠性民办幼儿园认定、扶持和管理办法，逐年认定一批普惠性民办园，逐年提高普惠性民办园在园幼儿占比。</w:t>
      </w:r>
      <w:r>
        <w:rPr>
          <w:rFonts w:eastAsia="仿宋_GB2312"/>
          <w:sz w:val="32"/>
          <w:szCs w:val="32"/>
        </w:rPr>
        <w:t>县（市、区）要</w:t>
      </w:r>
      <w:r>
        <w:rPr>
          <w:rFonts w:eastAsia="仿宋_GB2312"/>
          <w:bCs/>
          <w:sz w:val="32"/>
          <w:szCs w:val="32"/>
        </w:rPr>
        <w:t>通过购买服务、综合奖补、减免租金、派驻公办教师、培训教师、教研指导等方式，积极扶持民办园提供普惠性服务</w:t>
      </w:r>
      <w:r>
        <w:rPr>
          <w:rFonts w:eastAsia="仿宋_GB2312"/>
          <w:sz w:val="32"/>
          <w:szCs w:val="32"/>
        </w:rPr>
        <w:t>。</w:t>
      </w:r>
      <w:r>
        <w:rPr>
          <w:rFonts w:eastAsia="仿宋_GB2312"/>
          <w:sz w:val="32"/>
          <w:szCs w:val="32"/>
          <w:shd w:val="clear" w:color="auto" w:fill="FFFFFF"/>
        </w:rPr>
        <w:t>鼓励企事业单位、社会团体及其他社会组织等向学前教育捐资助学。</w:t>
      </w:r>
    </w:p>
    <w:p w14:paraId="30866843">
      <w:pPr>
        <w:spacing w:line="570" w:lineRule="exact"/>
        <w:ind w:firstLine="640" w:firstLineChars="200"/>
        <w:rPr>
          <w:rFonts w:eastAsia="楷体_GB2312"/>
          <w:sz w:val="32"/>
          <w:szCs w:val="32"/>
        </w:rPr>
      </w:pPr>
      <w:r>
        <w:rPr>
          <w:rFonts w:eastAsia="楷体_GB2312"/>
          <w:sz w:val="32"/>
          <w:szCs w:val="32"/>
        </w:rPr>
        <w:t>（三）健全经费保障长效机制</w:t>
      </w:r>
    </w:p>
    <w:p w14:paraId="5A7C6A59">
      <w:pPr>
        <w:widowControl/>
        <w:snapToGrid w:val="0"/>
        <w:spacing w:line="570" w:lineRule="exact"/>
        <w:ind w:firstLine="640" w:firstLineChars="200"/>
        <w:rPr>
          <w:rFonts w:eastAsia="仿宋_GB2312"/>
          <w:b/>
          <w:kern w:val="0"/>
          <w:sz w:val="32"/>
          <w:szCs w:val="32"/>
        </w:rPr>
      </w:pPr>
      <w:r>
        <w:rPr>
          <w:rFonts w:eastAsia="仿宋_GB2312"/>
          <w:sz w:val="32"/>
          <w:szCs w:val="32"/>
        </w:rPr>
        <w:t>1.健全财政经费投入机制。各级政府要切实落实发展学前教育的主体责任，</w:t>
      </w:r>
      <w:r>
        <w:rPr>
          <w:rFonts w:eastAsia="仿宋_GB2312"/>
          <w:kern w:val="0"/>
          <w:sz w:val="32"/>
          <w:szCs w:val="32"/>
        </w:rPr>
        <w:t>市、县（市、区）政府</w:t>
      </w:r>
      <w:r>
        <w:rPr>
          <w:rFonts w:hint="default" w:eastAsia="仿宋_GB2312"/>
          <w:kern w:val="0"/>
          <w:sz w:val="32"/>
          <w:szCs w:val="32"/>
        </w:rPr>
        <w:t>（管委会）</w:t>
      </w:r>
      <w:r>
        <w:rPr>
          <w:rFonts w:eastAsia="仿宋_GB2312"/>
          <w:kern w:val="0"/>
          <w:sz w:val="32"/>
          <w:szCs w:val="32"/>
        </w:rPr>
        <w:t>统筹财力和资源办好学前教育，确保学前教育生均一般公共预算教育支出逐年只增不减。推动县级财政性学前教育经费占同级财政性教育经费比例不低于5%</w:t>
      </w:r>
      <w:r>
        <w:rPr>
          <w:rFonts w:eastAsia="仿宋_GB2312"/>
          <w:kern w:val="0"/>
          <w:sz w:val="32"/>
          <w:szCs w:val="32"/>
          <w:shd w:val="clear" w:color="auto" w:fill="FFFFFF"/>
        </w:rPr>
        <w:t>。</w:t>
      </w:r>
      <w:r>
        <w:rPr>
          <w:rFonts w:eastAsia="仿宋_GB2312"/>
          <w:kern w:val="0"/>
          <w:sz w:val="32"/>
          <w:szCs w:val="32"/>
        </w:rPr>
        <w:t>各县（市、区）在省定标准基础上，可视本地财力情况适当提高普惠性幼儿园生均拨款标准，鼓励有条件的县（市、区）根据办园质量建立分类、有差异的普惠性民办园奖补制度。</w:t>
      </w:r>
      <w:r>
        <w:rPr>
          <w:rFonts w:eastAsia="仿宋_GB2312"/>
          <w:sz w:val="32"/>
          <w:szCs w:val="32"/>
        </w:rPr>
        <w:t>每年从市级民办教育专项资金中安排资金对普惠性民办幼儿园进行奖补。各县（市、区）要结合实际，建立和完善普惠性民办园的补助机制，支持他们提供面向大众、收费较低、有质量的普惠性服务。</w:t>
      </w:r>
      <w:r>
        <w:rPr>
          <w:rFonts w:eastAsia="仿宋_GB2312"/>
          <w:kern w:val="0"/>
          <w:sz w:val="32"/>
          <w:szCs w:val="32"/>
        </w:rPr>
        <w:t>鼓励有条件的县（市、区）实施残疾儿童1-3年免费学前教育，鼓励幼儿园积极申报省“随班就读示范园”项目。健全学前教育资助制度，切实保障家庭经济困难儿童接受普惠性学前教育。</w:t>
      </w:r>
    </w:p>
    <w:p w14:paraId="65B31157">
      <w:pPr>
        <w:spacing w:line="570" w:lineRule="exact"/>
        <w:ind w:firstLine="640" w:firstLineChars="200"/>
        <w:rPr>
          <w:rFonts w:eastAsia="仿宋_GB2312"/>
          <w:sz w:val="32"/>
          <w:szCs w:val="32"/>
        </w:rPr>
      </w:pPr>
      <w:r>
        <w:rPr>
          <w:rFonts w:eastAsia="仿宋_GB2312"/>
          <w:sz w:val="32"/>
          <w:szCs w:val="32"/>
        </w:rPr>
        <w:t>2.加大学前教育经费投入。继续实行学前教育奖励机制，在市级教育费附加中每年安排不低于3000万元，通过“以奖代补”的方式，对市属国有企业的公办园、区政府筹资建设的城区公办园、公办乡镇幼儿园，按实际建设投资补助50%。2021-2025年，各县（市、区）要新建、改扩建2所以上城区公办园。</w:t>
      </w:r>
    </w:p>
    <w:p w14:paraId="0C31C392">
      <w:pPr>
        <w:widowControl/>
        <w:snapToGrid w:val="0"/>
        <w:spacing w:line="570" w:lineRule="exact"/>
        <w:ind w:firstLine="640" w:firstLineChars="200"/>
        <w:rPr>
          <w:rFonts w:eastAsia="仿宋_GB2312"/>
          <w:kern w:val="0"/>
          <w:sz w:val="32"/>
          <w:szCs w:val="32"/>
          <w:shd w:val="clear" w:color="auto" w:fill="FFFFFF"/>
        </w:rPr>
      </w:pPr>
      <w:r>
        <w:rPr>
          <w:rFonts w:eastAsia="仿宋_GB2312"/>
          <w:sz w:val="32"/>
          <w:szCs w:val="32"/>
        </w:rPr>
        <w:t>3.健全收费标准动态调整机制。市及</w:t>
      </w:r>
      <w:r>
        <w:rPr>
          <w:rFonts w:eastAsia="仿宋_GB2312"/>
          <w:kern w:val="0"/>
          <w:sz w:val="32"/>
          <w:szCs w:val="32"/>
        </w:rPr>
        <w:t>各县（市）</w:t>
      </w:r>
      <w:r>
        <w:rPr>
          <w:rFonts w:eastAsia="仿宋_GB2312"/>
          <w:sz w:val="32"/>
          <w:szCs w:val="32"/>
        </w:rPr>
        <w:t>要根据经济可持续发展需要和实际，</w:t>
      </w:r>
      <w:r>
        <w:rPr>
          <w:rFonts w:eastAsia="仿宋_GB2312"/>
          <w:kern w:val="0"/>
          <w:sz w:val="32"/>
          <w:szCs w:val="32"/>
        </w:rPr>
        <w:t>科学核定政府部门办园、国有企事业单位办园、集体办园、普惠性民办园的成本，明确各方分担比例，建立与拨款、资助水平相适应的收费标准动态调整机制</w:t>
      </w:r>
      <w:r>
        <w:rPr>
          <w:rFonts w:eastAsia="仿宋_GB2312"/>
          <w:kern w:val="0"/>
          <w:sz w:val="32"/>
          <w:szCs w:val="32"/>
          <w:shd w:val="clear" w:color="auto" w:fill="FFFFFF"/>
        </w:rPr>
        <w:t>，合理确定收费标准，坚决遏制过高收费和过度逐利行为。</w:t>
      </w:r>
      <w:r>
        <w:rPr>
          <w:rFonts w:eastAsia="仿宋_GB2312"/>
          <w:kern w:val="0"/>
          <w:sz w:val="32"/>
          <w:szCs w:val="32"/>
          <w:shd w:val="clear" w:color="auto" w:fill="FFFFFF"/>
          <w:lang w:eastAsia="zh-Hans"/>
        </w:rPr>
        <w:t>各</w:t>
      </w:r>
      <w:r>
        <w:rPr>
          <w:rFonts w:eastAsia="仿宋_GB2312"/>
          <w:kern w:val="0"/>
          <w:sz w:val="32"/>
          <w:szCs w:val="32"/>
        </w:rPr>
        <w:t>县（市、区）</w:t>
      </w:r>
      <w:r>
        <w:rPr>
          <w:rFonts w:eastAsia="仿宋_GB2312"/>
          <w:kern w:val="0"/>
          <w:sz w:val="32"/>
          <w:szCs w:val="32"/>
          <w:shd w:val="clear" w:color="auto" w:fill="FFFFFF"/>
          <w:lang w:eastAsia="zh-Hans"/>
        </w:rPr>
        <w:t>依法加强对营利性民办园收费行为的规范监管。</w:t>
      </w:r>
    </w:p>
    <w:p w14:paraId="438DE5DB">
      <w:pPr>
        <w:widowControl/>
        <w:snapToGrid w:val="0"/>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四）加强教职工队伍建设</w:t>
      </w:r>
    </w:p>
    <w:p w14:paraId="7F1A211C">
      <w:pPr>
        <w:spacing w:line="570" w:lineRule="exact"/>
        <w:ind w:firstLine="640" w:firstLineChars="200"/>
        <w:rPr>
          <w:rFonts w:eastAsia="仿宋_GB2312"/>
        </w:rPr>
      </w:pPr>
      <w:r>
        <w:rPr>
          <w:rFonts w:eastAsia="仿宋_GB2312"/>
          <w:sz w:val="32"/>
          <w:szCs w:val="32"/>
        </w:rPr>
        <w:t>1.完善教师补充管理机制。</w:t>
      </w:r>
      <w:r>
        <w:rPr>
          <w:rFonts w:eastAsia="仿宋_GB2312"/>
          <w:kern w:val="0"/>
          <w:sz w:val="32"/>
          <w:szCs w:val="32"/>
        </w:rPr>
        <w:t>加大事业编制挖潜创新力度并向学前教育领域适当倾斜，全面落实《广东省幼儿园编制标准（试行）》，及时核定并统筹用好公办园教职工编制，抓好教职工补充和队伍建设，严禁挤占、挪用、截留教职工编制和“有编不补”。民办园按照配备标准配足配齐教职工。</w:t>
      </w:r>
    </w:p>
    <w:p w14:paraId="6B993D5A">
      <w:pPr>
        <w:widowControl/>
        <w:snapToGrid w:val="0"/>
        <w:spacing w:line="570" w:lineRule="exact"/>
        <w:ind w:firstLine="640" w:firstLineChars="200"/>
        <w:rPr>
          <w:rFonts w:eastAsia="仿宋_GB2312"/>
          <w:b/>
          <w:color w:val="FF0000"/>
          <w:kern w:val="0"/>
          <w:sz w:val="32"/>
          <w:szCs w:val="32"/>
        </w:rPr>
      </w:pPr>
      <w:r>
        <w:rPr>
          <w:rFonts w:eastAsia="仿宋_GB2312"/>
          <w:kern w:val="0"/>
          <w:sz w:val="32"/>
          <w:szCs w:val="32"/>
        </w:rPr>
        <w:t>加强幼儿园党建和师德师风建设，严把教师选拔聘用入口关。建立健全幼儿园教师信息管理制度，严格落实全员持证上岗要求。深化幼儿园教师职称制度改革，优化岗位结构比例。分区域分类别开展幼儿园</w:t>
      </w:r>
      <w:r>
        <w:rPr>
          <w:rFonts w:hint="default" w:eastAsia="仿宋_GB2312"/>
          <w:kern w:val="0"/>
          <w:sz w:val="32"/>
          <w:szCs w:val="32"/>
        </w:rPr>
        <w:t>自主</w:t>
      </w:r>
      <w:r>
        <w:rPr>
          <w:rFonts w:eastAsia="仿宋_GB2312"/>
          <w:kern w:val="0"/>
          <w:sz w:val="32"/>
          <w:szCs w:val="32"/>
        </w:rPr>
        <w:t>游戏、幼小衔接等优秀活动案例遴选，在课题立项、成果评比、职称评审中向学前教育适当倾斜。依法保障和落实民办园教师在业务培训、职务聘任、教龄和工龄计算、表彰奖励等方面享有与公办园教师同等权利。</w:t>
      </w:r>
    </w:p>
    <w:p w14:paraId="4325A764">
      <w:pPr>
        <w:widowControl/>
        <w:snapToGrid w:val="0"/>
        <w:spacing w:line="570" w:lineRule="exact"/>
        <w:ind w:firstLine="640" w:firstLineChars="200"/>
        <w:rPr>
          <w:rFonts w:eastAsia="仿宋_GB2312"/>
          <w:b/>
          <w:color w:val="FF0000"/>
          <w:kern w:val="0"/>
          <w:sz w:val="32"/>
          <w:szCs w:val="32"/>
        </w:rPr>
      </w:pPr>
      <w:r>
        <w:rPr>
          <w:rFonts w:eastAsia="仿宋_GB2312"/>
          <w:sz w:val="32"/>
          <w:szCs w:val="32"/>
        </w:rPr>
        <w:t>建立教职工待遇保障机制。完善公办园在编教职工工资待遇保障机制，落实国家规定的工资待遇。采取多种方式切实解决公办园非在编教师工资待遇偏低问题，逐步实现同工同酬。引导和监督民办幼儿园依法配足配齐教职工并保障其工资待遇，将民办园教师待遇落实情况列入年审内容。鼓励有条件的县（市、区）发放普惠性民办幼儿园教师长期从教津贴。</w:t>
      </w:r>
      <w:r>
        <w:rPr>
          <w:rFonts w:eastAsia="仿宋_GB2312"/>
          <w:kern w:val="0"/>
          <w:sz w:val="32"/>
          <w:szCs w:val="32"/>
        </w:rPr>
        <w:t>各类幼儿园依法依规足额足项为教职工缴纳社会保险和住房公积金，</w:t>
      </w:r>
      <w:r>
        <w:rPr>
          <w:rFonts w:eastAsia="仿宋_GB2312"/>
          <w:sz w:val="32"/>
          <w:szCs w:val="32"/>
        </w:rPr>
        <w:t>鼓励普惠性民办幼儿园建立教职工年金制度。</w:t>
      </w:r>
    </w:p>
    <w:p w14:paraId="43F50B9D">
      <w:pPr>
        <w:spacing w:line="570" w:lineRule="exact"/>
        <w:ind w:firstLine="640" w:firstLineChars="200"/>
        <w:rPr>
          <w:rFonts w:eastAsia="仿宋_GB2312"/>
          <w:kern w:val="0"/>
          <w:sz w:val="32"/>
          <w:szCs w:val="32"/>
        </w:rPr>
      </w:pPr>
      <w:r>
        <w:rPr>
          <w:rFonts w:eastAsia="仿宋_GB2312"/>
          <w:sz w:val="32"/>
          <w:szCs w:val="32"/>
        </w:rPr>
        <w:t>3.加强幼儿园师资培养培训。扩大市属大专、中等职业学校学前教育专业的培养规模，推进中高职一体化学前教育人才培养。根据学前教育事业发展规划，市及各县（市、区）制定幼儿园教师和教研员培训规划，支持和鼓励教师提升学历层次。继续实施幼儿园教师全员培训，市重点实施市级培训项目，加大幼儿园园长、乡村幼儿园教师、普惠性民办幼儿园教师、随班就读资源教师的培训力度，每年培养150名园长和570名骨干教师，带动幼儿园教师队伍提升素质。充分发挥城市优质幼儿园的带动作用，以试点乡镇中心幼儿园为支点，逐步推进镇、村幼儿园一体化管理，辐射引领镇域内其他各类幼儿园，提升保教质量。各县（市、区）借力高等院校组建兼职教研员队伍，按照全口径全方位融入式结对帮扶机制中高等院校与市县结对关系，充实市县学前教育教研力量。逐步推动开展智慧教研，加强教研活动与信息技术深度融合，提高幼儿园园长、教师和教研员的能力素质。</w:t>
      </w:r>
      <w:r>
        <w:rPr>
          <w:rFonts w:eastAsia="仿宋_GB2312"/>
          <w:color w:val="FF0000"/>
          <w:kern w:val="0"/>
          <w:sz w:val="32"/>
          <w:szCs w:val="32"/>
        </w:rPr>
        <w:t xml:space="preserve"> </w:t>
      </w:r>
    </w:p>
    <w:p w14:paraId="398D1D8A">
      <w:pPr>
        <w:spacing w:line="570" w:lineRule="exact"/>
        <w:ind w:firstLine="640" w:firstLineChars="200"/>
        <w:rPr>
          <w:rFonts w:eastAsia="楷体_GB2312"/>
          <w:sz w:val="32"/>
          <w:szCs w:val="32"/>
        </w:rPr>
      </w:pPr>
      <w:r>
        <w:rPr>
          <w:rFonts w:eastAsia="楷体_GB2312"/>
          <w:sz w:val="32"/>
          <w:szCs w:val="32"/>
        </w:rPr>
        <w:t>（五）完善幼儿园监管体系</w:t>
      </w:r>
    </w:p>
    <w:p w14:paraId="583914A3">
      <w:pPr>
        <w:spacing w:line="570" w:lineRule="exact"/>
        <w:ind w:firstLine="640" w:firstLineChars="200"/>
        <w:rPr>
          <w:rFonts w:eastAsia="仿宋_GB2312"/>
          <w:kern w:val="0"/>
          <w:sz w:val="32"/>
          <w:szCs w:val="32"/>
        </w:rPr>
      </w:pPr>
      <w:r>
        <w:rPr>
          <w:rFonts w:eastAsia="仿宋_GB2312"/>
          <w:sz w:val="32"/>
          <w:szCs w:val="32"/>
        </w:rPr>
        <w:t>1.落实属地管理。落实“国务院领导，省地（市）统筹，以县为主”的学前教育管理体制，充分发挥乡镇政府的作用。积极推动各县（市、区）</w:t>
      </w:r>
      <w:r>
        <w:rPr>
          <w:rFonts w:eastAsia="仿宋_GB2312"/>
          <w:bCs/>
          <w:sz w:val="32"/>
          <w:szCs w:val="32"/>
        </w:rPr>
        <w:t>理顺政府机关、企事业单位、城镇街道办、村集体办幼儿园办园体制，实行属地化管理。</w:t>
      </w:r>
      <w:r>
        <w:rPr>
          <w:rFonts w:eastAsia="仿宋_GB2312"/>
          <w:kern w:val="0"/>
          <w:sz w:val="32"/>
          <w:szCs w:val="32"/>
        </w:rPr>
        <w:t>建立教育部门主管、各有关部门分工负责的年检制度和动态监管机制。化解和消除学前教育“大班额”现象，强化对幼儿园办园条件、教师资格与配备、安全防护、收费行为、卫生保健、保育教育、财务管理等方面的动态监管。</w:t>
      </w:r>
    </w:p>
    <w:p w14:paraId="4687C6DF">
      <w:pPr>
        <w:widowControl/>
        <w:shd w:val="clear" w:color="auto" w:fill="FFFFFF"/>
        <w:spacing w:line="570" w:lineRule="exact"/>
        <w:ind w:firstLine="640" w:firstLineChars="200"/>
        <w:rPr>
          <w:rFonts w:eastAsia="仿宋_GB2312"/>
          <w:kern w:val="0"/>
          <w:sz w:val="32"/>
          <w:szCs w:val="32"/>
        </w:rPr>
      </w:pPr>
      <w:r>
        <w:rPr>
          <w:rFonts w:eastAsia="仿宋_GB2312"/>
          <w:kern w:val="0"/>
          <w:sz w:val="32"/>
          <w:szCs w:val="32"/>
        </w:rPr>
        <w:t>2.强化全程监管。完善幼儿园信息备案及公示制度，纳入县（市、区）政务信息系统管理，各县（市、区）定期向社会公布幼儿园教职工配备、收费标准、质量评估等方面信息。幼儿园园长和专任教师变更要主动向教育主管部门备案，一个月内完成信息更新。加强民办园财务监管，非营利性民办园收取费用、开展活动的资金往来，要使用在教育行政部门备案的账户，确保收费主要用于保障教职工待遇、改善办园条件、提高保教质量。严禁非营利性民办幼儿园举办者通过任何方式取得办学收益、分配或转移办学结余。落实省、市幼儿园招生要求，各县（市、区）要制定幼儿园招生工作方案，探索实施学前教育服务区制度，以“相对就近”为原则合理确定普惠园招生服务区域。</w:t>
      </w:r>
    </w:p>
    <w:p w14:paraId="3AF81918">
      <w:pPr>
        <w:spacing w:line="570" w:lineRule="exact"/>
        <w:ind w:firstLine="640" w:firstLineChars="200"/>
        <w:rPr>
          <w:rFonts w:eastAsia="仿宋_GB2312"/>
          <w:color w:val="FF0000"/>
          <w:kern w:val="0"/>
          <w:sz w:val="32"/>
          <w:szCs w:val="32"/>
        </w:rPr>
      </w:pPr>
      <w:r>
        <w:rPr>
          <w:rFonts w:eastAsia="仿宋_GB2312"/>
          <w:bCs/>
          <w:sz w:val="32"/>
          <w:szCs w:val="32"/>
        </w:rPr>
        <w:t>3.加强安全管理。</w:t>
      </w:r>
      <w:r>
        <w:rPr>
          <w:rFonts w:eastAsia="仿宋_GB2312"/>
          <w:kern w:val="0"/>
          <w:sz w:val="32"/>
          <w:szCs w:val="32"/>
        </w:rPr>
        <w:t>严格落实幼儿园安全主体责任和有关部门安全监管责任，建立全覆盖的安全风险防控体系。强化幼儿园安全管理和教育，普及幼儿安全知识、提高安全意识和素质，开展必要的自救、互救和紧急疏散等应急演练。幼儿园要健全房屋设备、消防、门卫、食品药品、幼儿接送交接、幼儿就寝值守和活动组织等安全防护和检查制度，及时排查安全隐患，严防各类事故发生。加强人防、物防、技防建设，幼儿园门口设置隔离栏、隔离墩或升降柱等硬质防冲撞设施，专职保安配备、一键式紧急报警、视频监控装置配备和封闭化管理全面达标。市及县（市、区）教育部门要会同有关部门建立健全幼儿园安全日常监管、重大隐患督办、约谈通报等工作机制，</w:t>
      </w:r>
      <w:r>
        <w:rPr>
          <w:rFonts w:eastAsia="仿宋_GB2312"/>
          <w:bCs/>
          <w:sz w:val="32"/>
          <w:szCs w:val="32"/>
        </w:rPr>
        <w:t>把具备符合国家安全标准的园舍和设施作为幼儿园申办准入的必备条件，</w:t>
      </w:r>
      <w:r>
        <w:rPr>
          <w:rFonts w:eastAsia="仿宋_GB2312"/>
          <w:kern w:val="0"/>
          <w:sz w:val="32"/>
          <w:szCs w:val="32"/>
        </w:rPr>
        <w:t xml:space="preserve">及时通报幼儿园安全风险，定期组织开展联合检查和集中整治，落实监督检查常态化措施，确保幼儿园安全运转。 </w:t>
      </w:r>
    </w:p>
    <w:p w14:paraId="6EC9B8BC">
      <w:pPr>
        <w:pStyle w:val="3"/>
        <w:spacing w:line="570" w:lineRule="exact"/>
        <w:ind w:firstLine="640" w:firstLineChars="200"/>
        <w:rPr>
          <w:rFonts w:ascii="Times New Roman" w:hAnsi="Times New Roman" w:eastAsia="仿宋_GB2312"/>
          <w:bCs/>
          <w:color w:val="FF0000"/>
          <w:sz w:val="32"/>
          <w:szCs w:val="32"/>
        </w:rPr>
      </w:pPr>
      <w:r>
        <w:rPr>
          <w:rFonts w:ascii="Times New Roman" w:hAnsi="Times New Roman" w:eastAsia="仿宋_GB2312"/>
          <w:bCs/>
          <w:sz w:val="32"/>
          <w:szCs w:val="32"/>
        </w:rPr>
        <w:t>4.加大整治力度。</w:t>
      </w:r>
      <w:r>
        <w:rPr>
          <w:rFonts w:ascii="Times New Roman" w:hAnsi="Times New Roman" w:eastAsia="仿宋_GB2312"/>
          <w:kern w:val="0"/>
          <w:sz w:val="32"/>
          <w:szCs w:val="32"/>
        </w:rPr>
        <w:t>加强办园行为督导，市、县重点对存在危房、</w:t>
      </w:r>
      <w:r>
        <w:rPr>
          <w:rFonts w:ascii="Times New Roman" w:hAnsi="Times New Roman" w:eastAsia="仿宋_GB2312"/>
          <w:kern w:val="0"/>
          <w:sz w:val="32"/>
          <w:szCs w:val="32"/>
          <w:lang w:eastAsia="zh-Hans"/>
        </w:rPr>
        <w:t>“</w:t>
      </w:r>
      <w:r>
        <w:rPr>
          <w:rFonts w:ascii="Times New Roman" w:hAnsi="Times New Roman" w:eastAsia="仿宋_GB2312"/>
          <w:kern w:val="0"/>
          <w:sz w:val="32"/>
          <w:szCs w:val="32"/>
        </w:rPr>
        <w:t>三防</w:t>
      </w:r>
      <w:r>
        <w:rPr>
          <w:rFonts w:ascii="Times New Roman" w:hAnsi="Times New Roman" w:eastAsia="仿宋_GB2312"/>
          <w:kern w:val="0"/>
          <w:sz w:val="32"/>
          <w:szCs w:val="32"/>
          <w:lang w:eastAsia="zh-Hans"/>
        </w:rPr>
        <w:t>”</w:t>
      </w:r>
      <w:r>
        <w:rPr>
          <w:rFonts w:ascii="Times New Roman" w:hAnsi="Times New Roman" w:eastAsia="仿宋_GB2312"/>
          <w:kern w:val="0"/>
          <w:sz w:val="32"/>
          <w:szCs w:val="32"/>
        </w:rPr>
        <w:t>不达标等安全隐患及园长和教师不具备规定资格等不规范办园行为进行动态督查，限期整改，整改不到位的应依法进行处罚。对出现虐童、体罚及变相体罚等严重师德失范行为的幼儿园，年检实行一票否决，对涉事教职工、管理者和举办者依法追究法律责任。对有性侵害、虐待、拐卖、暴力伤害等违法犯罪记录或行为的教职工，不得录用，在职的应当及时解聘。各县（市、区）要按要求继续开展幼儿园名称规范清理行动，对冠以“</w:t>
      </w:r>
      <w:r>
        <w:rPr>
          <w:rFonts w:ascii="Times New Roman" w:hAnsi="Times New Roman" w:eastAsia="仿宋_GB2312"/>
          <w:kern w:val="0"/>
          <w:sz w:val="32"/>
          <w:szCs w:val="32"/>
          <w:lang w:eastAsia="zh-Hans"/>
        </w:rPr>
        <w:t>中国</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中华</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全国</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国际</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世界</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全球</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等字样，包含外语词、外国国名、地名，使用“双语”“艺术”“国学”“私塾”等片面强调</w:t>
      </w:r>
      <w:r>
        <w:rPr>
          <w:rFonts w:ascii="Times New Roman" w:hAnsi="Times New Roman" w:eastAsia="仿宋_GB2312"/>
          <w:kern w:val="0"/>
          <w:sz w:val="32"/>
          <w:szCs w:val="32"/>
        </w:rPr>
        <w:t>课程特色或带有宗教色彩的名称，以及民办幼儿园使用公办幼儿园名称或简称等进行清理整治。</w:t>
      </w:r>
    </w:p>
    <w:p w14:paraId="54ECB52F">
      <w:pPr>
        <w:pStyle w:val="3"/>
        <w:spacing w:line="570" w:lineRule="exact"/>
        <w:ind w:firstLine="640" w:firstLineChars="200"/>
        <w:rPr>
          <w:rFonts w:ascii="Times New Roman" w:hAnsi="Times New Roman" w:eastAsia="仿宋_GB2312"/>
          <w:bCs/>
          <w:color w:val="FF0000"/>
          <w:sz w:val="32"/>
          <w:szCs w:val="32"/>
        </w:rPr>
      </w:pPr>
      <w:r>
        <w:rPr>
          <w:rFonts w:ascii="Times New Roman" w:hAnsi="Times New Roman" w:eastAsia="仿宋_GB2312"/>
          <w:bCs/>
          <w:sz w:val="32"/>
          <w:szCs w:val="32"/>
        </w:rPr>
        <w:t>各县（市、区）要严格落实《中共广东省委教育工作领导小组办公室 广东省人民政府教育督导室关于进一步加强无证幼儿园监管和整治工作的通知》《湛江市人民政府办公室关于进一步加强湛江市无证幼儿园监管和整治工作的通知》的要求，建立本地</w:t>
      </w:r>
      <w:r>
        <w:rPr>
          <w:rFonts w:ascii="Times New Roman" w:hAnsi="Times New Roman" w:eastAsia="仿宋_GB2312"/>
          <w:sz w:val="32"/>
          <w:szCs w:val="32"/>
        </w:rPr>
        <w:t>整治无证幼儿园长效管理机制，定期开展联合执法，分类整治无证幼儿园；加强对辖区内幼儿园进行巡查，设置举报电话，建立无证幼儿园档案，及时消除无证幼儿园。</w:t>
      </w:r>
      <w:r>
        <w:rPr>
          <w:rFonts w:ascii="Times New Roman" w:hAnsi="Times New Roman" w:eastAsia="仿宋_GB2312"/>
          <w:kern w:val="0"/>
          <w:sz w:val="32"/>
          <w:szCs w:val="32"/>
        </w:rPr>
        <w:t>加大校外培训机构执法检查力度，对以学前班、幼小衔接班、思维训练班、托管班等名义及其他违反儿童身心发展规律的培训，一经发现，严肃查处，并追究相关人员的责任。</w:t>
      </w:r>
    </w:p>
    <w:p w14:paraId="02C6C149">
      <w:pPr>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六）提高幼儿园保教质量</w:t>
      </w:r>
    </w:p>
    <w:p w14:paraId="14628786">
      <w:pPr>
        <w:spacing w:line="570" w:lineRule="exact"/>
        <w:ind w:firstLine="640" w:firstLineChars="200"/>
        <w:rPr>
          <w:rFonts w:eastAsia="仿宋_GB2312"/>
          <w:kern w:val="0"/>
          <w:sz w:val="32"/>
          <w:szCs w:val="32"/>
        </w:rPr>
      </w:pPr>
      <w:r>
        <w:rPr>
          <w:rFonts w:eastAsia="仿宋_GB2312"/>
          <w:sz w:val="32"/>
          <w:szCs w:val="32"/>
        </w:rPr>
        <w:t>1.提升幼儿园保教质量。</w:t>
      </w:r>
      <w:r>
        <w:rPr>
          <w:rFonts w:eastAsia="仿宋_GB2312"/>
          <w:kern w:val="0"/>
          <w:sz w:val="32"/>
          <w:szCs w:val="32"/>
        </w:rPr>
        <w:t>培育3个省“新课程”科学保教示范项目、2个省学前教育高质量发展试验区、1个省级学前教育教研基地建设，加强优质科研实践成果推广和运用。</w:t>
      </w:r>
      <w:r>
        <w:rPr>
          <w:rFonts w:eastAsia="仿宋_GB2312"/>
          <w:sz w:val="32"/>
          <w:szCs w:val="32"/>
          <w:shd w:val="clear" w:color="auto" w:fill="FFFFFF"/>
        </w:rPr>
        <w:t>支持湛江幼儿师范专科学校依托</w:t>
      </w:r>
      <w:r>
        <w:rPr>
          <w:rFonts w:eastAsia="仿宋_GB2312"/>
          <w:kern w:val="0"/>
          <w:sz w:val="32"/>
          <w:szCs w:val="32"/>
        </w:rPr>
        <w:t>粤西乡村学前教育发展研究中心，建立校地协同的工作机制，开展乡村幼儿园保教质量提升；支持岭南师范学院附属幼儿园、湛江市委机关幼儿园、湛江市第一幼儿园开展课程资源研发创新，构建我市学前教育“新课程”资源体系；支持麻章镇开展“城乡学前教育一体化管理资源中心”试点，在岭南师范学院、湛江幼儿师范专科</w:t>
      </w:r>
      <w:r>
        <w:rPr>
          <w:rFonts w:hint="default" w:eastAsia="仿宋_GB2312"/>
          <w:kern w:val="0"/>
          <w:sz w:val="32"/>
          <w:szCs w:val="32"/>
        </w:rPr>
        <w:t>学校</w:t>
      </w:r>
      <w:r>
        <w:rPr>
          <w:rFonts w:eastAsia="仿宋_GB2312"/>
          <w:kern w:val="0"/>
          <w:sz w:val="32"/>
          <w:szCs w:val="32"/>
        </w:rPr>
        <w:t>指导下，以麻章镇中心幼儿园为支点，集教研、培训、管理、服务于一体，探索建立镇村幼儿园一体化管理机制，提升我市乡村学前教育质量；支持学前教育省级教研基地建设发展，积极探索农村幼儿园教师教研模式，着力提升农村幼儿园教师专业素养；</w:t>
      </w:r>
      <w:r>
        <w:rPr>
          <w:rFonts w:eastAsia="仿宋_GB2312"/>
          <w:bCs/>
          <w:sz w:val="32"/>
          <w:szCs w:val="32"/>
        </w:rPr>
        <w:t>支持县（市、区）创建城乡学前教育共同体，整合城乡教育资源，推进我市学前教育均衡优质发展。</w:t>
      </w:r>
      <w:r>
        <w:rPr>
          <w:rFonts w:eastAsia="仿宋_GB2312"/>
          <w:kern w:val="0"/>
          <w:sz w:val="32"/>
          <w:szCs w:val="32"/>
        </w:rPr>
        <w:t>落实《广东省推进幼儿园与小学科学衔接</w:t>
      </w:r>
      <w:r>
        <w:rPr>
          <w:rFonts w:hint="default" w:eastAsia="仿宋_GB2312"/>
          <w:kern w:val="0"/>
          <w:sz w:val="32"/>
          <w:szCs w:val="32"/>
        </w:rPr>
        <w:t>攻坚</w:t>
      </w:r>
      <w:r>
        <w:rPr>
          <w:rFonts w:eastAsia="仿宋_GB2312"/>
          <w:kern w:val="0"/>
          <w:sz w:val="32"/>
          <w:szCs w:val="32"/>
        </w:rPr>
        <w:t>行动方案》《湛江市教育局关于切实做好幼儿园与小学科学衔接工作的通知》，全面构建幼小科学衔接机制，切实提高入学准备教育和入学适应教育的科学性和有效性。</w:t>
      </w:r>
    </w:p>
    <w:p w14:paraId="4B9FD1F7">
      <w:pPr>
        <w:spacing w:line="570" w:lineRule="exact"/>
        <w:ind w:firstLine="640" w:firstLineChars="200"/>
        <w:rPr>
          <w:rFonts w:eastAsia="仿宋_GB2312"/>
          <w:sz w:val="24"/>
        </w:rPr>
      </w:pPr>
      <w:r>
        <w:rPr>
          <w:rFonts w:eastAsia="仿宋_GB2312"/>
          <w:sz w:val="32"/>
          <w:szCs w:val="32"/>
        </w:rPr>
        <w:t>2.推动学前教育教研改革。</w:t>
      </w:r>
      <w:r>
        <w:rPr>
          <w:rFonts w:eastAsia="仿宋_GB2312"/>
          <w:kern w:val="0"/>
          <w:sz w:val="32"/>
          <w:szCs w:val="32"/>
        </w:rPr>
        <w:t>构建市-县-镇三级专职教研员队伍，每级至少配备1名教研员；从省市一级幼儿园中聘任名园长和骨干教师，来建设市县两级兼职教研员队伍，乡镇街道设兼职教研助理，为科学保教提供人力资源保障。市教育局教研室管理专职教研员和市兼职教研员；建立驻研和巡研两支队伍：</w:t>
      </w:r>
      <w:r>
        <w:rPr>
          <w:rFonts w:hint="default" w:ascii="Times New Roman" w:hAnsi="宋体" w:cs="Times New Roman"/>
          <w:kern w:val="0"/>
          <w:sz w:val="32"/>
          <w:szCs w:val="32"/>
        </w:rPr>
        <w:t>①</w:t>
      </w:r>
      <w:r>
        <w:rPr>
          <w:rFonts w:eastAsia="仿宋_GB2312"/>
          <w:kern w:val="0"/>
          <w:sz w:val="32"/>
          <w:szCs w:val="32"/>
        </w:rPr>
        <w:t>驻研教研员负责责任区的教研指导工作，并组建本责任区的教研队伍，开展入园指导，观察诊断，共同研修，甄选骨干，课题管理，反馈培训需求等常规性工作；</w:t>
      </w:r>
      <w:r>
        <w:rPr>
          <w:rFonts w:hint="default" w:ascii="Times New Roman" w:hAnsi="宋体" w:cs="Times New Roman"/>
          <w:kern w:val="0"/>
          <w:sz w:val="32"/>
          <w:szCs w:val="32"/>
        </w:rPr>
        <w:t>②</w:t>
      </w:r>
      <w:r>
        <w:rPr>
          <w:rFonts w:eastAsia="仿宋_GB2312"/>
          <w:kern w:val="0"/>
          <w:sz w:val="32"/>
          <w:szCs w:val="32"/>
        </w:rPr>
        <w:t>巡研教研员以项目形式进行管理，开展调研、诊断，并据此设置培训项目、竞赛项目、活动展示项目，以“范式”引领全市教研工作。</w:t>
      </w:r>
    </w:p>
    <w:p w14:paraId="713D23AE">
      <w:pPr>
        <w:spacing w:line="570" w:lineRule="exact"/>
        <w:ind w:firstLine="640" w:firstLineChars="200"/>
        <w:rPr>
          <w:rFonts w:eastAsia="仿宋_GB2312"/>
          <w:color w:val="FF0000"/>
          <w:kern w:val="0"/>
          <w:sz w:val="32"/>
          <w:szCs w:val="32"/>
        </w:rPr>
      </w:pPr>
      <w:r>
        <w:rPr>
          <w:rFonts w:eastAsia="仿宋_GB2312"/>
          <w:kern w:val="0"/>
          <w:sz w:val="32"/>
          <w:szCs w:val="32"/>
        </w:rPr>
        <w:t>抓“点”保“面”。“点”就是实验区建设：</w:t>
      </w:r>
      <w:r>
        <w:rPr>
          <w:rFonts w:hint="default" w:ascii="Times New Roman" w:hAnsi="宋体" w:cs="Times New Roman"/>
          <w:kern w:val="0"/>
          <w:sz w:val="32"/>
          <w:szCs w:val="32"/>
        </w:rPr>
        <w:t>①</w:t>
      </w:r>
      <w:r>
        <w:rPr>
          <w:rFonts w:eastAsia="仿宋_GB2312"/>
          <w:kern w:val="0"/>
          <w:sz w:val="32"/>
          <w:szCs w:val="32"/>
        </w:rPr>
        <w:t>遂溪，以创建全国学前教育普及普惠县为抓手提升保教质量；</w:t>
      </w:r>
      <w:r>
        <w:rPr>
          <w:rFonts w:hint="default" w:ascii="Times New Roman" w:hAnsi="宋体" w:cs="Times New Roman"/>
          <w:kern w:val="0"/>
          <w:sz w:val="32"/>
          <w:szCs w:val="32"/>
        </w:rPr>
        <w:t>②</w:t>
      </w:r>
      <w:r>
        <w:rPr>
          <w:rFonts w:eastAsia="仿宋_GB2312"/>
          <w:kern w:val="0"/>
          <w:sz w:val="32"/>
          <w:szCs w:val="32"/>
        </w:rPr>
        <w:t>廉江、徐闻、麻章，以课题和项目的实践基地为抓手发展乡村学前教育振兴乡村经济的实验，探索出可用于全市推广的“范式”；</w:t>
      </w:r>
      <w:r>
        <w:rPr>
          <w:rFonts w:hint="default" w:ascii="Times New Roman" w:hAnsi="宋体" w:cs="Times New Roman"/>
          <w:kern w:val="0"/>
          <w:sz w:val="32"/>
          <w:szCs w:val="32"/>
        </w:rPr>
        <w:t>③</w:t>
      </w:r>
      <w:r>
        <w:rPr>
          <w:rFonts w:eastAsia="仿宋_GB2312"/>
          <w:kern w:val="0"/>
          <w:sz w:val="32"/>
          <w:szCs w:val="32"/>
        </w:rPr>
        <w:t>城区，对标教育部《幼儿园保育教育质量评估指南》，进一步提升18所省一级幼儿园保教质量；</w:t>
      </w:r>
      <w:r>
        <w:rPr>
          <w:rFonts w:hint="default" w:ascii="Times New Roman" w:hAnsi="宋体" w:cs="Times New Roman"/>
          <w:kern w:val="0"/>
          <w:sz w:val="32"/>
          <w:szCs w:val="32"/>
        </w:rPr>
        <w:t>④</w:t>
      </w:r>
      <w:r>
        <w:rPr>
          <w:rFonts w:eastAsia="仿宋_GB2312"/>
          <w:kern w:val="0"/>
          <w:sz w:val="32"/>
          <w:szCs w:val="32"/>
        </w:rPr>
        <w:t>促请政府在有条件的县(市、区)建设一所特殊教育幼儿园，或鼓励并倚重高校与有条件的幼儿园共同设立特殊教育活动室，解决特殊幼儿随班就读的需求。“面”就是规范化率和质量评估通过率达标建设，确保规范化幼儿园比达95%以上，公办园质量评估通过率90%以上。</w:t>
      </w:r>
    </w:p>
    <w:p w14:paraId="561B7B01">
      <w:pPr>
        <w:spacing w:line="570" w:lineRule="exact"/>
        <w:ind w:firstLine="640" w:firstLineChars="200"/>
        <w:rPr>
          <w:rFonts w:eastAsia="仿宋_GB2312"/>
          <w:sz w:val="32"/>
          <w:szCs w:val="32"/>
          <w:shd w:val="clear" w:color="auto" w:fill="FFFFFF"/>
        </w:rPr>
      </w:pPr>
      <w:r>
        <w:rPr>
          <w:rFonts w:eastAsia="仿宋_GB2312"/>
          <w:sz w:val="32"/>
          <w:szCs w:val="32"/>
        </w:rPr>
        <w:t>3.开展幼儿园保教质量评估。落实教育部《幼儿园办园行为督导评估办法</w:t>
      </w:r>
      <w:r>
        <w:rPr>
          <w:rFonts w:eastAsia="仿宋_GB2312"/>
          <w:kern w:val="0"/>
          <w:sz w:val="32"/>
          <w:szCs w:val="32"/>
        </w:rPr>
        <w:t>》</w:t>
      </w:r>
      <w:r>
        <w:rPr>
          <w:rFonts w:eastAsia="仿宋_GB2312"/>
          <w:kern w:val="0"/>
          <w:sz w:val="32"/>
          <w:szCs w:val="32"/>
          <w:lang w:bidi="ar"/>
        </w:rPr>
        <w:t>《幼儿园保育教育质量评估指南》，根据实际</w:t>
      </w:r>
      <w:r>
        <w:rPr>
          <w:rFonts w:eastAsia="仿宋_GB2312"/>
          <w:sz w:val="32"/>
          <w:szCs w:val="32"/>
          <w:shd w:val="clear" w:color="auto" w:fill="FFFFFF"/>
        </w:rPr>
        <w:t>健全</w:t>
      </w:r>
      <w:r>
        <w:rPr>
          <w:rFonts w:eastAsia="仿宋_GB2312"/>
          <w:kern w:val="0"/>
          <w:sz w:val="32"/>
          <w:szCs w:val="32"/>
        </w:rPr>
        <w:t>幼儿园保教质量评估体系，充分发挥质量评估对保教实践的科学导向作用，提高教师专业素质和实践能力，全面提高幼儿园保教质量。</w:t>
      </w:r>
      <w:r>
        <w:rPr>
          <w:rFonts w:eastAsia="仿宋_GB2312"/>
          <w:sz w:val="32"/>
          <w:szCs w:val="32"/>
        </w:rPr>
        <w:t>市及</w:t>
      </w:r>
      <w:r>
        <w:rPr>
          <w:rFonts w:eastAsia="仿宋_GB2312"/>
          <w:bCs/>
          <w:sz w:val="32"/>
          <w:szCs w:val="32"/>
        </w:rPr>
        <w:t>各县（市、区）</w:t>
      </w:r>
      <w:r>
        <w:rPr>
          <w:rFonts w:eastAsia="仿宋_GB2312"/>
          <w:sz w:val="32"/>
          <w:szCs w:val="32"/>
          <w:shd w:val="clear" w:color="auto" w:fill="FFFFFF"/>
        </w:rPr>
        <w:t>要</w:t>
      </w:r>
      <w:r>
        <w:rPr>
          <w:rFonts w:eastAsia="仿宋_GB2312"/>
          <w:kern w:val="0"/>
          <w:sz w:val="32"/>
          <w:szCs w:val="32"/>
        </w:rPr>
        <w:t>建立学前教育专兼职督学队伍</w:t>
      </w:r>
      <w:r>
        <w:rPr>
          <w:rFonts w:eastAsia="仿宋_GB2312"/>
          <w:sz w:val="32"/>
          <w:szCs w:val="32"/>
          <w:shd w:val="clear" w:color="auto" w:fill="FFFFFF"/>
        </w:rPr>
        <w:t>，完善幼儿园督导评估监测制度并抓好落实。</w:t>
      </w:r>
    </w:p>
    <w:p w14:paraId="06369A8E">
      <w:pPr>
        <w:spacing w:line="570" w:lineRule="exact"/>
        <w:ind w:firstLine="640" w:firstLineChars="200"/>
        <w:rPr>
          <w:rFonts w:eastAsia="黑体"/>
          <w:sz w:val="32"/>
          <w:szCs w:val="32"/>
        </w:rPr>
      </w:pPr>
      <w:r>
        <w:rPr>
          <w:rFonts w:eastAsia="黑体"/>
          <w:sz w:val="32"/>
          <w:szCs w:val="32"/>
        </w:rPr>
        <w:t>三、组织与实施</w:t>
      </w:r>
    </w:p>
    <w:p w14:paraId="38A677F7">
      <w:pPr>
        <w:spacing w:line="570" w:lineRule="exact"/>
        <w:ind w:firstLine="640" w:firstLineChars="200"/>
        <w:rPr>
          <w:rFonts w:eastAsia="楷体_GB2312"/>
          <w:sz w:val="32"/>
          <w:szCs w:val="32"/>
        </w:rPr>
      </w:pPr>
      <w:r>
        <w:rPr>
          <w:rFonts w:eastAsia="楷体_GB2312"/>
          <w:sz w:val="32"/>
          <w:szCs w:val="32"/>
        </w:rPr>
        <w:t>（一）加强组织领导</w:t>
      </w:r>
    </w:p>
    <w:p w14:paraId="19DD1C8A">
      <w:pPr>
        <w:spacing w:line="570" w:lineRule="exact"/>
        <w:ind w:firstLine="640" w:firstLineChars="200"/>
        <w:rPr>
          <w:rFonts w:eastAsia="仿宋_GB2312"/>
          <w:bCs/>
          <w:sz w:val="32"/>
          <w:szCs w:val="32"/>
        </w:rPr>
      </w:pPr>
      <w:r>
        <w:rPr>
          <w:rFonts w:eastAsia="仿宋_GB2312"/>
          <w:bCs/>
          <w:sz w:val="32"/>
          <w:szCs w:val="32"/>
        </w:rPr>
        <w:t>各县（市、区）要高度重视“十四五”学前教育发展提升行动计划的编制和实施工作，</w:t>
      </w:r>
      <w:r>
        <w:rPr>
          <w:rFonts w:eastAsia="仿宋_GB2312"/>
          <w:sz w:val="32"/>
          <w:szCs w:val="32"/>
          <w:shd w:val="clear" w:color="auto" w:fill="FFFFFF"/>
        </w:rPr>
        <w:t>以</w:t>
      </w:r>
      <w:r>
        <w:rPr>
          <w:rFonts w:eastAsia="仿宋_GB2312"/>
          <w:bCs/>
          <w:sz w:val="32"/>
          <w:szCs w:val="32"/>
        </w:rPr>
        <w:t>县（市、区）</w:t>
      </w:r>
      <w:r>
        <w:rPr>
          <w:rFonts w:eastAsia="仿宋_GB2312"/>
          <w:sz w:val="32"/>
          <w:szCs w:val="32"/>
          <w:shd w:val="clear" w:color="auto" w:fill="FFFFFF"/>
        </w:rPr>
        <w:t>为基础逐级科学编制学前教育发展提升行动计划，并列入党委、政府工作的重要议事日程，</w:t>
      </w:r>
      <w:r>
        <w:rPr>
          <w:rFonts w:eastAsia="仿宋_GB2312"/>
          <w:bCs/>
          <w:sz w:val="32"/>
          <w:szCs w:val="32"/>
        </w:rPr>
        <w:t>落实人财物条件保障，确保各项目标任务落到实处。</w:t>
      </w:r>
    </w:p>
    <w:p w14:paraId="1AECE5E5">
      <w:pPr>
        <w:spacing w:line="570" w:lineRule="exact"/>
        <w:ind w:firstLine="640" w:firstLineChars="200"/>
        <w:rPr>
          <w:rFonts w:eastAsia="楷体_GB2312"/>
          <w:sz w:val="32"/>
          <w:szCs w:val="32"/>
        </w:rPr>
      </w:pPr>
      <w:r>
        <w:rPr>
          <w:rFonts w:eastAsia="楷体_GB2312"/>
          <w:sz w:val="32"/>
          <w:szCs w:val="32"/>
        </w:rPr>
        <w:t>（二）建立投入激励机制</w:t>
      </w:r>
    </w:p>
    <w:p w14:paraId="78421227">
      <w:pPr>
        <w:spacing w:line="570" w:lineRule="exact"/>
        <w:ind w:firstLine="640" w:firstLineChars="200"/>
        <w:rPr>
          <w:rFonts w:eastAsia="仿宋_GB2312"/>
          <w:bCs/>
          <w:sz w:val="32"/>
          <w:szCs w:val="32"/>
        </w:rPr>
      </w:pPr>
      <w:r>
        <w:rPr>
          <w:rFonts w:eastAsia="仿宋_GB2312"/>
          <w:sz w:val="32"/>
          <w:szCs w:val="32"/>
          <w:shd w:val="clear" w:color="auto" w:fill="FFFFFF"/>
        </w:rPr>
        <w:t>市县两级政府要落实举办学前教育的主体责任，统筹用好上级转移支付资金和本级财力发展学前教育，资金安排向困难地区、薄弱环节倾斜。</w:t>
      </w:r>
      <w:r>
        <w:rPr>
          <w:rFonts w:eastAsia="仿宋_GB2312"/>
          <w:bCs/>
          <w:sz w:val="32"/>
          <w:szCs w:val="32"/>
        </w:rPr>
        <w:t>市财政继续安排资金，支持和引导各县（市、区）积极发展学前教育，重点向农村地区和随迁子女流入地区倾斜。资金分配重点与各</w:t>
      </w:r>
      <w:r>
        <w:rPr>
          <w:rFonts w:eastAsia="仿宋_GB2312"/>
          <w:kern w:val="0"/>
          <w:sz w:val="32"/>
          <w:szCs w:val="32"/>
        </w:rPr>
        <w:t>县（市、区）</w:t>
      </w:r>
      <w:r>
        <w:rPr>
          <w:rFonts w:eastAsia="仿宋_GB2312"/>
          <w:bCs/>
          <w:sz w:val="32"/>
          <w:szCs w:val="32"/>
        </w:rPr>
        <w:t xml:space="preserve">扩大普惠性资源、完善管理体制、健全投入机制、资助家庭经济困难儿童入园等工作的绩效挂钩。  </w:t>
      </w:r>
    </w:p>
    <w:p w14:paraId="3C34CF46">
      <w:pPr>
        <w:spacing w:line="570" w:lineRule="exact"/>
        <w:ind w:firstLine="640" w:firstLineChars="200"/>
        <w:rPr>
          <w:rFonts w:eastAsia="楷体_GB2312"/>
          <w:sz w:val="32"/>
          <w:szCs w:val="32"/>
        </w:rPr>
      </w:pPr>
      <w:r>
        <w:rPr>
          <w:rFonts w:eastAsia="楷体_GB2312"/>
          <w:sz w:val="32"/>
          <w:szCs w:val="32"/>
        </w:rPr>
        <w:t>（三）建立工作推进机制</w:t>
      </w:r>
    </w:p>
    <w:p w14:paraId="0460F045">
      <w:pPr>
        <w:spacing w:line="570" w:lineRule="exact"/>
        <w:ind w:firstLine="640" w:firstLineChars="200"/>
        <w:rPr>
          <w:rFonts w:eastAsia="仿宋_GB2312"/>
          <w:bCs/>
          <w:sz w:val="32"/>
          <w:szCs w:val="32"/>
        </w:rPr>
      </w:pPr>
      <w:r>
        <w:rPr>
          <w:rFonts w:eastAsia="仿宋_GB2312"/>
          <w:sz w:val="32"/>
          <w:szCs w:val="32"/>
        </w:rPr>
        <w:t>各地建立发展</w:t>
      </w:r>
      <w:r>
        <w:rPr>
          <w:rFonts w:eastAsia="仿宋_GB2312"/>
          <w:bCs/>
          <w:sz w:val="32"/>
          <w:szCs w:val="32"/>
        </w:rPr>
        <w:t>“十四五”</w:t>
      </w:r>
      <w:r>
        <w:rPr>
          <w:rFonts w:eastAsia="仿宋_GB2312"/>
          <w:sz w:val="32"/>
          <w:szCs w:val="32"/>
        </w:rPr>
        <w:t>学前教育行动计划协调机制，明确教育、发展改革、公安、财政、人力资源社会保障、自然资源、住房城乡建设、税务、医保等部门的任务，着力破解长期制约学前教育发展的体制机制问题。</w:t>
      </w:r>
      <w:r>
        <w:rPr>
          <w:rFonts w:eastAsia="仿宋_GB2312"/>
          <w:kern w:val="0"/>
          <w:sz w:val="32"/>
          <w:szCs w:val="32"/>
        </w:rPr>
        <w:t>教育部门要加强学前教育的科学指导和监督管理。编制部门要</w:t>
      </w:r>
      <w:r>
        <w:rPr>
          <w:rFonts w:eastAsia="仿宋_GB2312"/>
          <w:kern w:val="0"/>
          <w:sz w:val="32"/>
          <w:szCs w:val="32"/>
          <w:lang w:eastAsia="zh-Hans"/>
        </w:rPr>
        <w:t>结合实际合理</w:t>
      </w:r>
      <w:r>
        <w:rPr>
          <w:rFonts w:eastAsia="仿宋_GB2312"/>
          <w:kern w:val="0"/>
          <w:sz w:val="32"/>
          <w:szCs w:val="32"/>
        </w:rPr>
        <w:t>核定公办幼儿园教职工编制。发展改革部门要把学前教育纳入当地经济社会发展规划，支持幼儿园建设发展。公安部门要依法严厉打击侵害幼儿人身安全的违法犯罪行为，推动幼儿园及周边社会治安综合治理，会同教育部门加强幼儿园校车安全监管。财政部门要完善财政支持政策，支持扩大普惠性学前教育资源。人力资源社会保障部门要推进完善并实施幼儿园教职工人事（劳动）、工资待遇、社会保障和职称评聘政策。自然资源部门要结合教育部门用地需求及相关专项规划合理确定学前教育规划布局。住房城乡建设部门会同教育部门加强对配套幼儿园的建设、验收、移交等环节的监管落实。卫生健康部门要监督指导幼儿园卫生保健、疾病防治等工作。</w:t>
      </w:r>
      <w:r>
        <w:rPr>
          <w:rFonts w:eastAsia="仿宋_GB2312"/>
          <w:sz w:val="32"/>
          <w:szCs w:val="32"/>
          <w:shd w:val="clear" w:color="auto" w:fill="FFFFFF"/>
        </w:rPr>
        <w:t>发展改革、教育、</w:t>
      </w:r>
      <w:r>
        <w:rPr>
          <w:rFonts w:eastAsia="仿宋_GB2312"/>
          <w:sz w:val="32"/>
          <w:szCs w:val="32"/>
          <w:shd w:val="clear" w:color="auto" w:fill="FFFFFF"/>
          <w:lang w:eastAsia="zh-Hans"/>
        </w:rPr>
        <w:t>财政、市场监管</w:t>
      </w:r>
      <w:r>
        <w:rPr>
          <w:rFonts w:eastAsia="仿宋_GB2312"/>
          <w:sz w:val="32"/>
          <w:szCs w:val="32"/>
          <w:shd w:val="clear" w:color="auto" w:fill="FFFFFF"/>
        </w:rPr>
        <w:t>部门要根据职责分工，加强幼儿园收费管理。民政、市场监管部门要分别对取得办学许可证的非营利性幼儿园和营利性幼儿园依法办理法人登记手续。医疗保障部门要负责做好幼儿园教职工的医疗保障工作。</w:t>
      </w:r>
    </w:p>
    <w:p w14:paraId="651514D7">
      <w:pPr>
        <w:spacing w:line="570" w:lineRule="exact"/>
        <w:ind w:firstLine="640" w:firstLineChars="200"/>
        <w:rPr>
          <w:rFonts w:eastAsia="楷体_GB2312"/>
          <w:sz w:val="32"/>
          <w:szCs w:val="32"/>
        </w:rPr>
      </w:pPr>
      <w:r>
        <w:rPr>
          <w:rFonts w:eastAsia="楷体_GB2312"/>
          <w:sz w:val="32"/>
          <w:szCs w:val="32"/>
        </w:rPr>
        <w:t>（四）完善督导评估机制</w:t>
      </w:r>
    </w:p>
    <w:p w14:paraId="44C59610">
      <w:pPr>
        <w:spacing w:line="570" w:lineRule="exact"/>
        <w:ind w:firstLine="640" w:firstLineChars="200"/>
        <w:rPr>
          <w:rFonts w:eastAsia="仿宋_GB2312"/>
          <w:kern w:val="0"/>
          <w:sz w:val="32"/>
          <w:szCs w:val="32"/>
        </w:rPr>
      </w:pPr>
      <w:r>
        <w:rPr>
          <w:rFonts w:eastAsia="仿宋_GB2312"/>
          <w:kern w:val="0"/>
          <w:sz w:val="32"/>
          <w:szCs w:val="32"/>
        </w:rPr>
        <w:t>扎实推进县域学前教育普及普惠发展督导评估工作，压实政府责任，完善督导问责机制。将推进学前教育普及普惠、深化体制机制改革、提升保教质量、完善投入保障政策等情况，纳入对地方人民政府履行教育职责评价，发生较大社会影响的安全责任事故的县（市、区）2年内不得申报学前教育普及普惠督导评估认定。各地将行动计划目标任务和政策措施落实情况纳入县（市、区）政府（管委会）工作的绩效考核，促进学前教育普及普惠安全优质发展。</w:t>
      </w:r>
    </w:p>
    <w:p w14:paraId="5358517A">
      <w:pPr>
        <w:pStyle w:val="2"/>
        <w:rPr>
          <w:rFonts w:hint="default" w:ascii="Times New Roman" w:hAnsi="Times New Roman" w:eastAsia="黑体"/>
          <w:sz w:val="32"/>
          <w:szCs w:val="32"/>
        </w:rPr>
      </w:pPr>
    </w:p>
    <w:p w14:paraId="0F20CE40">
      <w:pPr>
        <w:pStyle w:val="2"/>
        <w:rPr>
          <w:rFonts w:hint="default" w:ascii="Times New Roman" w:hAnsi="Times New Roman" w:eastAsia="黑体"/>
          <w:sz w:val="32"/>
          <w:szCs w:val="32"/>
        </w:rPr>
      </w:pPr>
    </w:p>
    <w:p w14:paraId="6B9B6EAA">
      <w:pPr>
        <w:pStyle w:val="2"/>
        <w:rPr>
          <w:rFonts w:hint="default" w:ascii="Times New Roman" w:hAnsi="Times New Roman" w:eastAsia="黑体"/>
          <w:sz w:val="32"/>
          <w:szCs w:val="32"/>
        </w:rPr>
      </w:pPr>
    </w:p>
    <w:p w14:paraId="36E9F2B3">
      <w:pPr>
        <w:pStyle w:val="2"/>
        <w:rPr>
          <w:rFonts w:ascii="Times New Roman" w:hAnsi="Times New Roman" w:eastAsia="黑体"/>
          <w:sz w:val="32"/>
          <w:szCs w:val="32"/>
        </w:rPr>
        <w:sectPr>
          <w:footerReference r:id="rId3" w:type="first"/>
          <w:pgSz w:w="11906" w:h="16838"/>
          <w:pgMar w:top="2098" w:right="1474" w:bottom="1985" w:left="1588" w:header="851" w:footer="992" w:gutter="0"/>
          <w:cols w:space="720" w:num="1"/>
          <w:titlePg/>
          <w:docGrid w:type="lines" w:linePitch="312" w:charSpace="0"/>
        </w:sectPr>
      </w:pPr>
    </w:p>
    <w:p w14:paraId="0354FD5F">
      <w:pPr>
        <w:pStyle w:val="2"/>
        <w:spacing w:after="0" w:line="570" w:lineRule="exact"/>
        <w:rPr>
          <w:rFonts w:hint="default" w:ascii="Times New Roman" w:hAnsi="Times New Roman" w:eastAsia="黑体"/>
          <w:sz w:val="32"/>
          <w:szCs w:val="32"/>
        </w:rPr>
      </w:pPr>
      <w:r>
        <w:rPr>
          <w:rFonts w:hint="default" w:ascii="Times New Roman" w:hAnsi="黑体" w:eastAsia="黑体"/>
          <w:sz w:val="32"/>
          <w:szCs w:val="32"/>
        </w:rPr>
        <w:t>附件</w:t>
      </w:r>
      <w:r>
        <w:rPr>
          <w:rFonts w:hint="default" w:ascii="Times New Roman" w:hAnsi="Times New Roman" w:eastAsia="黑体"/>
          <w:sz w:val="32"/>
          <w:szCs w:val="32"/>
        </w:rPr>
        <w:t>2</w:t>
      </w:r>
    </w:p>
    <w:p w14:paraId="478875F2">
      <w:pPr>
        <w:pStyle w:val="2"/>
        <w:spacing w:after="0" w:line="570" w:lineRule="exact"/>
        <w:rPr>
          <w:rFonts w:hint="default" w:ascii="Times New Roman" w:hAnsi="Times New Roman" w:eastAsia="黑体"/>
          <w:sz w:val="32"/>
          <w:szCs w:val="32"/>
        </w:rPr>
      </w:pPr>
    </w:p>
    <w:p w14:paraId="56BC286A">
      <w:pPr>
        <w:spacing w:line="570" w:lineRule="exact"/>
        <w:jc w:val="center"/>
        <w:rPr>
          <w:rFonts w:hint="default" w:ascii="Times New Roman" w:eastAsia="方正小标宋简体"/>
          <w:b w:val="0"/>
          <w:sz w:val="44"/>
          <w:szCs w:val="44"/>
        </w:rPr>
      </w:pPr>
      <w:r>
        <w:rPr>
          <w:rFonts w:hint="default" w:ascii="Times New Roman" w:eastAsia="方正小标宋简体"/>
          <w:b w:val="0"/>
          <w:sz w:val="44"/>
          <w:szCs w:val="44"/>
        </w:rPr>
        <w:t>湛江市“十四五”县域普通高中</w:t>
      </w:r>
    </w:p>
    <w:p w14:paraId="21E9C2C5">
      <w:pPr>
        <w:spacing w:line="570" w:lineRule="exact"/>
        <w:jc w:val="center"/>
        <w:rPr>
          <w:rFonts w:hint="default" w:ascii="Times New Roman" w:eastAsia="方正小标宋简体"/>
          <w:b w:val="0"/>
          <w:sz w:val="32"/>
          <w:szCs w:val="32"/>
        </w:rPr>
      </w:pPr>
      <w:r>
        <w:rPr>
          <w:rFonts w:hint="default" w:ascii="Times New Roman" w:eastAsia="方正小标宋简体"/>
          <w:b w:val="0"/>
          <w:sz w:val="44"/>
          <w:szCs w:val="44"/>
        </w:rPr>
        <w:t>发展提升行动计划</w:t>
      </w:r>
    </w:p>
    <w:p w14:paraId="36A130B0">
      <w:pPr>
        <w:spacing w:line="570" w:lineRule="exact"/>
        <w:jc w:val="center"/>
        <w:rPr>
          <w:rFonts w:hint="default" w:eastAsia="楷体_GB2312"/>
          <w:sz w:val="32"/>
          <w:szCs w:val="32"/>
        </w:rPr>
      </w:pPr>
      <w:r>
        <w:rPr>
          <w:rFonts w:eastAsia="楷体_GB2312"/>
          <w:sz w:val="32"/>
          <w:szCs w:val="32"/>
        </w:rPr>
        <w:t>（征求意见稿）</w:t>
      </w:r>
    </w:p>
    <w:p w14:paraId="01646101">
      <w:pPr>
        <w:pStyle w:val="2"/>
        <w:spacing w:after="0" w:line="570" w:lineRule="exact"/>
        <w:rPr>
          <w:rFonts w:hint="default" w:ascii="Times New Roman" w:eastAsia="仿宋_GB2312"/>
          <w:sz w:val="32"/>
          <w:szCs w:val="32"/>
        </w:rPr>
      </w:pPr>
    </w:p>
    <w:p w14:paraId="18062CB7">
      <w:pPr>
        <w:spacing w:line="570" w:lineRule="exact"/>
        <w:rPr>
          <w:rFonts w:eastAsia="仿宋_GB2312"/>
          <w:sz w:val="32"/>
          <w:szCs w:val="32"/>
        </w:rPr>
      </w:pPr>
      <w:r>
        <w:rPr>
          <w:rFonts w:eastAsia="仿宋_GB2312"/>
          <w:sz w:val="32"/>
          <w:szCs w:val="32"/>
        </w:rPr>
        <w:t>　　县域普通高中（县、县级市举办的普通高中，以下简称县中）在推进基础教育高质量发展和乡村振兴战略中承担着重要使命，寄托着广大农村学生接受更好教育的美好期盼。为整体提升我市县中办学水平，更好地适应新高考改革和普通高中育人方式改革，推进以县城为重要载体的城镇化建设，根据教育部等九部门印发《“十四五”县域普通高中发展提升行动计划》（教基〔2021〕8号）、广东省教育厅等九部门印发《广东省“十四五”县域普通高中发展提升行动计划》（粤教基〔2022〕36号）、《广东省人民政府关于印发广东省推动基础教育高质量发展行动方案的通知》（粤府〔2021〕55号）、《湛江市人民政府办公室关于印发湛江市教育发展“十四五”规划的通知》（湛府办〔2023〕5 号）精神，结合我市实际，制定本行动计划。</w:t>
      </w:r>
    </w:p>
    <w:p w14:paraId="145596E5">
      <w:pPr>
        <w:spacing w:line="570" w:lineRule="exact"/>
        <w:rPr>
          <w:rFonts w:eastAsia="黑体"/>
          <w:sz w:val="32"/>
          <w:szCs w:val="32"/>
        </w:rPr>
      </w:pPr>
      <w:r>
        <w:rPr>
          <w:rFonts w:eastAsia="仿宋_GB2312"/>
          <w:sz w:val="32"/>
          <w:szCs w:val="32"/>
        </w:rPr>
        <w:t>　　</w:t>
      </w:r>
      <w:r>
        <w:rPr>
          <w:rFonts w:eastAsia="黑体"/>
          <w:sz w:val="32"/>
          <w:szCs w:val="32"/>
        </w:rPr>
        <w:t>一、指导思想</w:t>
      </w:r>
    </w:p>
    <w:p w14:paraId="2448AD41">
      <w:pPr>
        <w:spacing w:line="570" w:lineRule="exact"/>
        <w:rPr>
          <w:rFonts w:eastAsia="仿宋_GB2312"/>
          <w:sz w:val="32"/>
          <w:szCs w:val="32"/>
        </w:rPr>
      </w:pPr>
      <w:r>
        <w:rPr>
          <w:rFonts w:eastAsia="仿宋_GB2312"/>
          <w:sz w:val="32"/>
          <w:szCs w:val="32"/>
        </w:rPr>
        <w:t>　　以习近平新时代中国特色社会主义思想为指导，深入学习贯彻党的二十大精神，全面贯彻党的教育方针，积极服务国家乡村振兴和人才发展战略，围绕建设高质量普通高中发展体系，遵循坚持源头治理、强化政府责任、促进协调发展、深化教学改革的基本原则，健全县中发展提升保障机制，全面提高县中教育质量，促进县中与城区普通高中协调发展，推进县中优质特色多样化发展，培养能够担当民族复兴大任的时代新人。</w:t>
      </w:r>
    </w:p>
    <w:p w14:paraId="39F97D3A">
      <w:pPr>
        <w:spacing w:line="570" w:lineRule="exact"/>
        <w:rPr>
          <w:rFonts w:eastAsia="黑体"/>
          <w:sz w:val="32"/>
          <w:szCs w:val="32"/>
        </w:rPr>
      </w:pPr>
      <w:r>
        <w:rPr>
          <w:rFonts w:eastAsia="仿宋_GB2312"/>
          <w:sz w:val="32"/>
          <w:szCs w:val="32"/>
        </w:rPr>
        <w:t>　　</w:t>
      </w:r>
      <w:r>
        <w:rPr>
          <w:rFonts w:eastAsia="黑体"/>
          <w:sz w:val="32"/>
          <w:szCs w:val="32"/>
        </w:rPr>
        <w:t>二、工作目标</w:t>
      </w:r>
    </w:p>
    <w:p w14:paraId="68DE0256">
      <w:pPr>
        <w:spacing w:line="570" w:lineRule="exact"/>
        <w:rPr>
          <w:rFonts w:eastAsia="仿宋_GB2312"/>
          <w:sz w:val="32"/>
          <w:szCs w:val="32"/>
        </w:rPr>
      </w:pPr>
      <w:r>
        <w:rPr>
          <w:rFonts w:eastAsia="仿宋_GB2312"/>
          <w:sz w:val="32"/>
          <w:szCs w:val="32"/>
        </w:rPr>
        <w:t>　　到2025年，全市县中整体办学水平进一步提高，市域内县中和城区普通高中协调发展机制健全，全市高中阶段教育毛入学率保持在98%以上，普通高中标准化建设全部达标，全面消除县中大班额问题。普通高中招生全面规范，县中生源和教师流失现象得到根本扭转；教师补充激励机制基本健全，县中校长和教师队伍建设明显加强；教育经费投入机制进一步完善，县中办学经费得到切实保障；薄弱县中办学条件基本改善，学校建设基本实现标准化；教育教学改革进一步深化，县中教育质量显著提高。</w:t>
      </w:r>
    </w:p>
    <w:p w14:paraId="47AE2D6D">
      <w:pPr>
        <w:spacing w:line="570" w:lineRule="exact"/>
        <w:ind w:firstLine="640" w:firstLineChars="200"/>
        <w:rPr>
          <w:rFonts w:eastAsia="黑体"/>
          <w:sz w:val="32"/>
          <w:szCs w:val="32"/>
        </w:rPr>
      </w:pPr>
      <w:r>
        <w:rPr>
          <w:rFonts w:eastAsia="黑体"/>
          <w:sz w:val="32"/>
          <w:szCs w:val="32"/>
        </w:rPr>
        <w:t>三、任务举措</w:t>
      </w:r>
    </w:p>
    <w:p w14:paraId="31B41A28">
      <w:pPr>
        <w:spacing w:line="570" w:lineRule="exact"/>
        <w:ind w:firstLine="640" w:firstLineChars="200"/>
        <w:rPr>
          <w:rFonts w:eastAsia="仿宋_GB2312"/>
          <w:sz w:val="32"/>
          <w:szCs w:val="32"/>
        </w:rPr>
      </w:pPr>
      <w:r>
        <w:rPr>
          <w:rFonts w:eastAsia="楷体_GB2312"/>
          <w:sz w:val="32"/>
          <w:szCs w:val="32"/>
        </w:rPr>
        <w:t>（一）规范高中招生管理。</w:t>
      </w:r>
      <w:r>
        <w:rPr>
          <w:rFonts w:eastAsia="仿宋_GB2312"/>
          <w:sz w:val="32"/>
          <w:szCs w:val="32"/>
        </w:rPr>
        <w:t>全面实施基于初中学业水平考试成绩、结合综合素质评价的高中阶段学校招生录取模式。强化招生入学属地管理责任，全面落实公民办普通高中同步招生和属地招生政策要求。完善优质普通高中名额分配办法，确保公办优质普通高中分配到招生区域内初中学校（含民办）的指标生名额不低于招生计划总数的50%，并向薄弱初中、农村初中倾斜，促进县域义务教育优质均衡发展。完善普通高中考试招生政策，全面清理挖抢县中优质生源的政策，采取有效措施稳定县中优质生源。城区（含赤坎区、霞山区、坡头区、经开区、麻章区，下同）普通高中主要面向城区招生，未经批准不得违规跨区域招生、违规招录县中生源；县域公办普通高中应在本县域内招生；民办普通高中招生工作纳入所在地教育行政部门统一管理，民办普通高中生源不足的，经市教育局批准在全市统筹调剂安排招生计划。除经国家和省审批可开展跨地市招生的普通高中学校外，其他学校不得跨地市招生。规范普通高中自主招生行为，进一步规范特殊类型招生。给予有条件的普通高中一定数量的自主招生名额，自主招收具有创新潜质和学科特长的学生，体育、艺术、科技等特长特色类型招生均纳入自主招生范围，促进普通高中学校多样化、有特色发展，满足不同潜质学生的发展需要。加强省市级高中阶段学校统一招生录取服务平台建设，进一步规范普通高中招生录取工作，强化招生录取各环节全流程监管，深入开展违规跨区域招生、掐尖招生等行为专项整治，加大对违规招生行为的查处力度。</w:t>
      </w:r>
      <w:r>
        <w:rPr>
          <w:rFonts w:eastAsia="黑体"/>
          <w:sz w:val="32"/>
          <w:szCs w:val="32"/>
        </w:rPr>
        <w:t>（市教育局）</w:t>
      </w:r>
    </w:p>
    <w:p w14:paraId="10681001">
      <w:pPr>
        <w:spacing w:line="570" w:lineRule="exact"/>
        <w:rPr>
          <w:rFonts w:eastAsia="黑体"/>
          <w:sz w:val="32"/>
          <w:szCs w:val="32"/>
        </w:rPr>
      </w:pPr>
      <w:r>
        <w:rPr>
          <w:rFonts w:eastAsia="仿宋_GB2312"/>
          <w:sz w:val="32"/>
          <w:szCs w:val="32"/>
        </w:rPr>
        <w:t>　　</w:t>
      </w:r>
      <w:r>
        <w:rPr>
          <w:rFonts w:eastAsia="楷体_GB2312"/>
          <w:sz w:val="32"/>
          <w:szCs w:val="32"/>
        </w:rPr>
        <w:t>（二）加强教师队伍建设。</w:t>
      </w:r>
      <w:r>
        <w:rPr>
          <w:rFonts w:eastAsia="仿宋_GB2312"/>
          <w:sz w:val="32"/>
          <w:szCs w:val="32"/>
        </w:rPr>
        <w:t>严格落实中央和省关于中小学教职员编制标准和统筹管理相关规定，优化教师配备，依照条件标准及时补充县中教师，拓展教师补充渠道，选优配强校长教师，大力引进优秀高中校长和骨干教师到县中从教，探索建立从市直属学校选派优秀校长、骨干教师到县中任职任教机制。深化城乡教师管理制度改革，巩固“县管校聘”改革成果，完善交流轮岗机制。鼓励和支持各地建立中小学教师编制“周转池”，实现县中师资配置动态化管理。探索建立“市域统筹、以市为主”的普通高中教师管理体制机制，优化普通高中教师配备，适应普通高中新课程改革和高考综合改革选课走班教学的需要。深入实施公费定向培养政策，为符合条件的学校精准培养学科教师，积极解决县中教师总量不足和结构性缺员问题。做好高层次人才引进、培养和服务工作，县中公开招聘高层次、急需紧缺教师，可采取面试或直接业务考察等方式组织考试。各地要完成党政机关等其他非教学单位与县中混编混岗及长期借调借用县中教职工、公办学校在编教师长期到民办学校任教等问题的清理和整改。严格按照国家有关规定和程序办理教师流动手续，严禁发达地区、城区学校到薄弱地区、县中抢挖优秀校长和教师，对未经组织人事部门和教育行政部门同意，恶意从县中学校抢挖人才的，停止学校各类评优评先资格。</w:t>
      </w:r>
      <w:r>
        <w:rPr>
          <w:rFonts w:hint="default" w:ascii="Times New Roman" w:hAnsi="Times New Roman" w:eastAsia="黑体"/>
          <w:sz w:val="32"/>
          <w:szCs w:val="32"/>
        </w:rPr>
        <w:t>［</w:t>
      </w:r>
      <w:r>
        <w:rPr>
          <w:rFonts w:eastAsia="黑体"/>
          <w:sz w:val="32"/>
          <w:szCs w:val="32"/>
        </w:rPr>
        <w:t>各县（市、区）人民政府、市人社局、市教育局、市教师发展中心</w:t>
      </w:r>
      <w:r>
        <w:rPr>
          <w:rFonts w:hint="default" w:ascii="Times New Roman" w:hAnsi="Times New Roman" w:eastAsia="黑体"/>
          <w:sz w:val="32"/>
          <w:szCs w:val="32"/>
        </w:rPr>
        <w:t>］</w:t>
      </w:r>
    </w:p>
    <w:p w14:paraId="3DAEA69E">
      <w:pPr>
        <w:spacing w:line="570" w:lineRule="exact"/>
        <w:ind w:firstLine="640" w:firstLineChars="200"/>
        <w:rPr>
          <w:rFonts w:eastAsia="黑体"/>
          <w:sz w:val="32"/>
          <w:szCs w:val="32"/>
        </w:rPr>
      </w:pPr>
      <w:r>
        <w:rPr>
          <w:rFonts w:eastAsia="楷体_GB2312"/>
          <w:sz w:val="32"/>
          <w:szCs w:val="32"/>
        </w:rPr>
        <w:t>（三）完善教师激励机制。</w:t>
      </w:r>
      <w:r>
        <w:rPr>
          <w:rFonts w:eastAsia="仿宋_GB2312"/>
          <w:sz w:val="32"/>
          <w:szCs w:val="32"/>
        </w:rPr>
        <w:t>建立健全中小学教师工资待遇保障长效联动机制，确保中小学教师平均工资收入水平“两个不低于或高于”政策落实到位；全面落实山区和农村边远地区学校教师生活补助政策，使教师能够安心在岗从教；合理核定县中绩效工资总量，绩效工资内部分配向教育教学实绩突出的一线教师、班主任等岗位倾斜。深化教师职称和考核评价制度改革，中高级教师岗位比例适当向县中倾斜。在评优评先、绩效工资等方面向县中优秀教师倾斜。鼓励有条件地方建设教师安居房，保障县中教师安心从教。全面提高县中教师能力素养，完善市、县分级培训制度，在全员轮训、国家级培训、省级培训、市级培训、市级专项培训、全口径全方位融入式帮扶培训等培训项目名额分配中向县中骨干教师倾斜；在市级名教师、名校长、名班主任工作室（中学部分）入室学员和网络学员指标分配中向县中倾斜，其中入室学员县中教师占比不低于四分之一，网络学员县中教师占比不低于五分之一。深入实施中小学“百千万人才培养工程”，大力培养一批县中名教师、名校长、名班主任，发挥市级名教师、名校长、名班主任工作室在县中的示范引领和辐射作用。依托省教育厅实施的粤东粤西粤北地区教师全员轮训计划，加强对县中校长和教师培训，增强培训的针对性和实效性。支持县中教师通过网络教育、脱产学习、在职进修等多种方式提升学历层次，鼓励有条件的县（市）按标准给予补助</w:t>
      </w:r>
      <w:r>
        <w:rPr>
          <w:rFonts w:eastAsia="黑体"/>
          <w:sz w:val="32"/>
          <w:szCs w:val="32"/>
        </w:rPr>
        <w:t>（市财政局、市人社局、市教育局、市教师发展中心）</w:t>
      </w:r>
    </w:p>
    <w:p w14:paraId="3196975B">
      <w:pPr>
        <w:spacing w:line="570" w:lineRule="exact"/>
        <w:ind w:firstLine="640" w:firstLineChars="200"/>
        <w:rPr>
          <w:rFonts w:eastAsia="黑体"/>
          <w:sz w:val="32"/>
          <w:szCs w:val="32"/>
        </w:rPr>
      </w:pPr>
      <w:r>
        <w:rPr>
          <w:rFonts w:eastAsia="楷体_GB2312"/>
          <w:sz w:val="32"/>
          <w:szCs w:val="32"/>
        </w:rPr>
        <w:t>（四）完善经费投入机制。</w:t>
      </w:r>
      <w:r>
        <w:rPr>
          <w:rFonts w:eastAsia="仿宋_GB2312"/>
          <w:sz w:val="32"/>
          <w:szCs w:val="32"/>
        </w:rPr>
        <w:t>建立以财政拨款为主、其他多种渠道筹措为辅的体制，逐步加大县中的经费投入。县级政府要统筹用好上级转移支付资金和本级财力，支持县中发展。强化市级财政对县中发展支持和保障力度，设立普通高中发展市级专项资金，到2025年，每年安排不少于5000万元市级财政资金，支持县中改善办学条件和高中集团化办学工作（包括县中托管帮扶），重点支持县中消除大班额和进行标准化建设。加强基础教育高质量发展资金保障，加快教育转移支付资金使用。健全公办普通高中生均公用经费拨款制度，科学核定公办普通高中培养成本，完善生均公用经费标准和学费标准动态调整机制，适时提高公办普通高中生均公用经费水平，全市及各县（市、区）公办普通高中生均公用经费拨款标准不低于省定标准，鼓励有条件的县（市、区）适当提高拨款标准，确保县中生均公用经费足额拨付到校。鼓励和支持通过各级各类教育基金会、慈善组织、社会团体、企业和个人等多渠道筹措办学经费。继续实施好国家助学金和免学杂费政策，确保家庭经济困难学生顺利完成学业。</w:t>
      </w:r>
      <w:r>
        <w:rPr>
          <w:rFonts w:hint="default" w:ascii="Times New Roman" w:hAnsi="Times New Roman" w:eastAsia="黑体"/>
          <w:sz w:val="32"/>
          <w:szCs w:val="32"/>
        </w:rPr>
        <w:t>［</w:t>
      </w:r>
      <w:r>
        <w:rPr>
          <w:rFonts w:eastAsia="黑体"/>
          <w:sz w:val="32"/>
          <w:szCs w:val="32"/>
        </w:rPr>
        <w:t>市财政局、市发改局、市教育局、各县（市、区）人民政府</w:t>
      </w:r>
      <w:r>
        <w:rPr>
          <w:rFonts w:hint="default" w:ascii="Times New Roman" w:hAnsi="Times New Roman" w:eastAsia="黑体"/>
          <w:sz w:val="32"/>
          <w:szCs w:val="32"/>
        </w:rPr>
        <w:t>］</w:t>
      </w:r>
    </w:p>
    <w:p w14:paraId="0A44560D">
      <w:pPr>
        <w:spacing w:line="570" w:lineRule="exact"/>
        <w:ind w:firstLine="640" w:firstLineChars="200"/>
        <w:rPr>
          <w:rFonts w:eastAsia="黑体"/>
          <w:sz w:val="32"/>
          <w:szCs w:val="32"/>
        </w:rPr>
      </w:pPr>
      <w:r>
        <w:rPr>
          <w:rFonts w:eastAsia="楷体_GB2312"/>
          <w:sz w:val="32"/>
          <w:szCs w:val="32"/>
        </w:rPr>
        <w:t>（五）改善县中办学条件。</w:t>
      </w:r>
      <w:r>
        <w:rPr>
          <w:rFonts w:eastAsia="仿宋_GB2312"/>
          <w:sz w:val="32"/>
          <w:szCs w:val="32"/>
        </w:rPr>
        <w:t>加强县中标准化建设，对未达到国家普通高中基本办学条件标准要求的县中，按“一校一案”原则制订标准化建设实施方案，明确时间表和路线图，确保到2025前全面完成县中标准化建设任务，满足高考综合改革和普通高中育人方式改革需要。大力改善县中食宿、卫生等生活条件，推进“互联网+名厨亮灶”建设与应用；规范校舍管理，建立宿舍安全校长第一责任制，学生宿舍应男女分区设置，满足各自封闭管理要求，宿舍应设置相应安全防护设施、盥洗设施、通风措施、三防设施、采光照明和厕所等</w:t>
      </w:r>
      <w:r>
        <w:rPr>
          <w:rFonts w:hint="default" w:eastAsia="仿宋_GB2312"/>
          <w:sz w:val="32"/>
          <w:szCs w:val="32"/>
        </w:rPr>
        <w:t>。</w:t>
      </w:r>
      <w:r>
        <w:rPr>
          <w:rFonts w:eastAsia="仿宋_GB2312"/>
          <w:sz w:val="32"/>
          <w:szCs w:val="32"/>
        </w:rPr>
        <w:t>加强特色实验教学空间建设，包括学科功能教室、综合实验室、创新实验室、教育创客空间、信息技术实验室、劳动技术实践教室、人工智能实验室、智慧阅读空间等，努力提升县中教育信息化水平，积极推进智慧校园建设，推进教育宽带网络提速扩容和教学多媒体设备升级换代，坚持深化信息技术与教育教学的融合应用，持续开展湛江市中小学“互联网环境下城乡一体化”课堂建设。系统化建设课程学习资源，深入推广应用国家和省、市教育资源公共服务平台，实现优质教育资源共建共享。</w:t>
      </w:r>
      <w:r>
        <w:rPr>
          <w:rFonts w:hint="default" w:ascii="Times New Roman" w:hAnsi="Times New Roman" w:eastAsia="黑体"/>
          <w:sz w:val="32"/>
          <w:szCs w:val="32"/>
        </w:rPr>
        <w:t>［</w:t>
      </w:r>
      <w:r>
        <w:rPr>
          <w:rFonts w:eastAsia="黑体"/>
          <w:sz w:val="32"/>
          <w:szCs w:val="32"/>
        </w:rPr>
        <w:t>市教育局、市财政局、各县（市、区）人民政府</w:t>
      </w:r>
      <w:r>
        <w:rPr>
          <w:rFonts w:hint="default" w:ascii="Times New Roman" w:hAnsi="Times New Roman" w:eastAsia="黑体"/>
          <w:sz w:val="32"/>
          <w:szCs w:val="32"/>
        </w:rPr>
        <w:t>］</w:t>
      </w:r>
    </w:p>
    <w:p w14:paraId="1A836C9E">
      <w:pPr>
        <w:spacing w:line="570" w:lineRule="exact"/>
        <w:ind w:firstLine="640" w:firstLineChars="200"/>
        <w:rPr>
          <w:rFonts w:eastAsia="黑体"/>
          <w:sz w:val="32"/>
          <w:szCs w:val="32"/>
        </w:rPr>
      </w:pPr>
      <w:r>
        <w:rPr>
          <w:rFonts w:eastAsia="楷体_GB2312"/>
          <w:sz w:val="32"/>
          <w:szCs w:val="32"/>
        </w:rPr>
        <w:t>（六）合理控制校额班额。</w:t>
      </w:r>
      <w:r>
        <w:rPr>
          <w:rFonts w:eastAsia="仿宋_GB2312"/>
          <w:sz w:val="32"/>
          <w:szCs w:val="32"/>
        </w:rPr>
        <w:t>采取有效措施，积极稳妥化解现有大规模学校，制定出台大规模学校压减实施方案，报市教育局备案。合理控制新建普通高中学校办学规模，学校办学规模不得超过3000人。严禁超标准建设豪华学校。继续实施消除大班额专项计划，严格控制招生规模和招生计划，严格控制起始年级班额,在“零增量”的基础上逐步消除现有大班额。2025年底前，普通高中56人以上大班额要全面“清零”。已消除大班额的地方要持续巩固现有成果，防止产生新的大班额。要建立完善学生选课走班制度，防止因学生选课走班而实际出现大班额现象。</w:t>
      </w:r>
      <w:r>
        <w:rPr>
          <w:rFonts w:hint="default" w:ascii="Times New Roman" w:hAnsi="Times New Roman" w:eastAsia="黑体"/>
          <w:sz w:val="32"/>
          <w:szCs w:val="32"/>
        </w:rPr>
        <w:t>［</w:t>
      </w:r>
      <w:r>
        <w:rPr>
          <w:rFonts w:eastAsia="黑体"/>
          <w:sz w:val="32"/>
          <w:szCs w:val="32"/>
        </w:rPr>
        <w:t>各县（市、区）人民政府、市教育局</w:t>
      </w:r>
      <w:r>
        <w:rPr>
          <w:rFonts w:hint="default" w:ascii="Times New Roman" w:hAnsi="Times New Roman" w:eastAsia="黑体"/>
          <w:sz w:val="32"/>
          <w:szCs w:val="32"/>
        </w:rPr>
        <w:t>］</w:t>
      </w:r>
    </w:p>
    <w:p w14:paraId="14D05698">
      <w:pPr>
        <w:spacing w:line="570" w:lineRule="exact"/>
        <w:rPr>
          <w:rFonts w:eastAsia="黑体"/>
          <w:sz w:val="32"/>
          <w:szCs w:val="32"/>
        </w:rPr>
      </w:pPr>
      <w:r>
        <w:rPr>
          <w:rFonts w:eastAsia="仿宋_GB2312"/>
          <w:sz w:val="32"/>
          <w:szCs w:val="32"/>
        </w:rPr>
        <w:t>　　</w:t>
      </w:r>
      <w:r>
        <w:rPr>
          <w:rFonts w:eastAsia="楷体_GB2312"/>
          <w:sz w:val="32"/>
          <w:szCs w:val="32"/>
        </w:rPr>
        <w:t>（七）增加高中学位供给。</w:t>
      </w:r>
      <w:r>
        <w:rPr>
          <w:rFonts w:eastAsia="仿宋_GB2312"/>
          <w:sz w:val="32"/>
          <w:szCs w:val="32"/>
        </w:rPr>
        <w:t>统筹考虑城镇化进程、人口变化趋势等因素，结合本地经济社会发展需要、人才需求状况、高中阶段教育发展状况、高中阶段教育总体资源，合理规划普通高中学校布局，精准测算高中学位需求，重点增加人口流入地学位，原则上新增普通高中学位为公办学位。对目前学位资源不足的县（市、区），要从生源规模实际出发，新建或改扩建一批公办普通高中，着力扩大学位资源供给，满足当地学生就学需要。多渠道增加高中教育资源供给，优化县中布局结构。支持有条件的县（市、区）通过新建、改扩建、设立优质普通高中分校区等方式增加学位供给，有效缓解县中学位不足问题。加大城区优质高中学位供给，推进湛江第一中学新校区、广东实验中学湛江学校建设，推动岭南师范学院附属中学新校区筹建。“十四五”普通高中学位建设专项规划详见附表。</w:t>
      </w:r>
      <w:r>
        <w:rPr>
          <w:rFonts w:hint="default" w:ascii="Times New Roman" w:hAnsi="Times New Roman" w:eastAsia="黑体"/>
          <w:sz w:val="32"/>
          <w:szCs w:val="32"/>
        </w:rPr>
        <w:t>［</w:t>
      </w:r>
      <w:r>
        <w:rPr>
          <w:rFonts w:eastAsia="黑体"/>
          <w:sz w:val="32"/>
          <w:szCs w:val="32"/>
        </w:rPr>
        <w:t>市教育局、市发改局、市自然资源局、市住建局、市财政局、各县（市、区）人民政府</w:t>
      </w:r>
      <w:r>
        <w:rPr>
          <w:rFonts w:hint="default" w:ascii="Times New Roman" w:hAnsi="Times New Roman" w:eastAsia="黑体"/>
          <w:sz w:val="32"/>
          <w:szCs w:val="32"/>
        </w:rPr>
        <w:t>］</w:t>
      </w:r>
    </w:p>
    <w:p w14:paraId="788EDD2F">
      <w:pPr>
        <w:pStyle w:val="3"/>
        <w:spacing w:line="440" w:lineRule="exact"/>
        <w:rPr>
          <w:rFonts w:hint="default" w:ascii="Times New Roman" w:hAnsi="Times New Roman" w:eastAsia="黑体"/>
          <w:sz w:val="32"/>
          <w:szCs w:val="32"/>
        </w:rPr>
      </w:pPr>
    </w:p>
    <w:p w14:paraId="7B0C2A7B">
      <w:pPr>
        <w:pStyle w:val="3"/>
        <w:spacing w:line="440" w:lineRule="exact"/>
        <w:rPr>
          <w:rFonts w:ascii="Times New Roman" w:hAnsi="Times New Roman" w:eastAsia="黑体"/>
          <w:sz w:val="32"/>
          <w:szCs w:val="32"/>
        </w:rPr>
      </w:pPr>
      <w:r>
        <w:rPr>
          <w:rFonts w:ascii="Times New Roman" w:hAnsi="Times New Roman" w:eastAsia="黑体"/>
          <w:sz w:val="32"/>
          <w:szCs w:val="32"/>
        </w:rPr>
        <w:t>附表</w:t>
      </w:r>
    </w:p>
    <w:p w14:paraId="5A00EBA1">
      <w:pPr>
        <w:pStyle w:val="3"/>
        <w:spacing w:line="440" w:lineRule="exact"/>
        <w:jc w:val="center"/>
        <w:rPr>
          <w:rFonts w:ascii="Times New Roman" w:hAnsi="Times New Roman" w:eastAsia="方正小标宋简体"/>
          <w:sz w:val="32"/>
          <w:szCs w:val="32"/>
        </w:rPr>
      </w:pPr>
      <w:r>
        <w:rPr>
          <w:rFonts w:ascii="Times New Roman" w:hAnsi="Times New Roman" w:eastAsia="方正小标宋简体"/>
          <w:sz w:val="32"/>
          <w:szCs w:val="32"/>
        </w:rPr>
        <w:t>湛江市“十四五”普通高中学位建设专项规划表</w:t>
      </w:r>
    </w:p>
    <w:p w14:paraId="5E1296CE">
      <w:pPr>
        <w:pStyle w:val="3"/>
        <w:spacing w:line="300" w:lineRule="exact"/>
        <w:rPr>
          <w:rFonts w:ascii="Times New Roman" w:hAnsi="Times New Roman" w:eastAsia="方正小标宋简体"/>
          <w:sz w:val="32"/>
          <w:szCs w:val="32"/>
        </w:rPr>
      </w:pPr>
    </w:p>
    <w:tbl>
      <w:tblPr>
        <w:tblStyle w:val="5"/>
        <w:tblW w:w="9782" w:type="dxa"/>
        <w:tblInd w:w="-176" w:type="dxa"/>
        <w:tblLayout w:type="fixed"/>
        <w:tblCellMar>
          <w:top w:w="0" w:type="dxa"/>
          <w:left w:w="108" w:type="dxa"/>
          <w:bottom w:w="0" w:type="dxa"/>
          <w:right w:w="108" w:type="dxa"/>
        </w:tblCellMar>
      </w:tblPr>
      <w:tblGrid>
        <w:gridCol w:w="426"/>
        <w:gridCol w:w="851"/>
        <w:gridCol w:w="2835"/>
        <w:gridCol w:w="992"/>
        <w:gridCol w:w="850"/>
        <w:gridCol w:w="993"/>
        <w:gridCol w:w="567"/>
        <w:gridCol w:w="708"/>
        <w:gridCol w:w="567"/>
        <w:gridCol w:w="993"/>
      </w:tblGrid>
      <w:tr w14:paraId="60ECEC3F">
        <w:tblPrEx>
          <w:tblCellMar>
            <w:top w:w="0" w:type="dxa"/>
            <w:left w:w="108" w:type="dxa"/>
            <w:bottom w:w="0" w:type="dxa"/>
            <w:right w:w="108" w:type="dxa"/>
          </w:tblCellMar>
        </w:tblPrEx>
        <w:trPr>
          <w:trHeight w:val="930" w:hRule="atLeast"/>
        </w:trPr>
        <w:tc>
          <w:tcPr>
            <w:tcW w:w="4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74B0E3">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序号</w:t>
            </w:r>
          </w:p>
        </w:tc>
        <w:tc>
          <w:tcPr>
            <w:tcW w:w="851" w:type="dxa"/>
            <w:tcBorders>
              <w:top w:val="single" w:color="auto" w:sz="4" w:space="0"/>
              <w:left w:val="nil"/>
              <w:bottom w:val="single" w:color="auto" w:sz="4" w:space="0"/>
              <w:right w:val="single" w:color="auto" w:sz="4" w:space="0"/>
            </w:tcBorders>
            <w:shd w:val="clear" w:color="auto" w:fill="auto"/>
            <w:noWrap w:val="0"/>
            <w:vAlign w:val="center"/>
          </w:tcPr>
          <w:p w14:paraId="5679975C">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行政</w:t>
            </w:r>
          </w:p>
          <w:p w14:paraId="35B369E5">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区域</w:t>
            </w:r>
          </w:p>
        </w:tc>
        <w:tc>
          <w:tcPr>
            <w:tcW w:w="2835" w:type="dxa"/>
            <w:tcBorders>
              <w:top w:val="single" w:color="auto" w:sz="4" w:space="0"/>
              <w:left w:val="nil"/>
              <w:bottom w:val="single" w:color="auto" w:sz="4" w:space="0"/>
              <w:right w:val="single" w:color="auto" w:sz="4" w:space="0"/>
            </w:tcBorders>
            <w:shd w:val="clear" w:color="auto" w:fill="auto"/>
            <w:noWrap w:val="0"/>
            <w:vAlign w:val="center"/>
          </w:tcPr>
          <w:p w14:paraId="6C29AD67">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项目学校名称</w:t>
            </w:r>
          </w:p>
        </w:tc>
        <w:tc>
          <w:tcPr>
            <w:tcW w:w="992" w:type="dxa"/>
            <w:tcBorders>
              <w:top w:val="single" w:color="auto" w:sz="4" w:space="0"/>
              <w:left w:val="nil"/>
              <w:bottom w:val="single" w:color="auto" w:sz="4" w:space="0"/>
              <w:right w:val="single" w:color="auto" w:sz="4" w:space="0"/>
            </w:tcBorders>
            <w:shd w:val="clear" w:color="auto" w:fill="auto"/>
            <w:noWrap w:val="0"/>
            <w:vAlign w:val="center"/>
          </w:tcPr>
          <w:p w14:paraId="249C958A">
            <w:pPr>
              <w:widowControl/>
              <w:jc w:val="center"/>
              <w:rPr>
                <w:rFonts w:hint="default" w:ascii="Times New Roman" w:hAnsi="Times New Roman" w:eastAsia="黑体"/>
                <w:bCs/>
                <w:kern w:val="0"/>
                <w:sz w:val="17"/>
                <w:szCs w:val="17"/>
              </w:rPr>
            </w:pPr>
            <w:r>
              <w:rPr>
                <w:rFonts w:ascii="Times New Roman" w:hAnsi="Times New Roman" w:eastAsia="黑体"/>
                <w:bCs/>
                <w:kern w:val="0"/>
                <w:sz w:val="17"/>
                <w:szCs w:val="17"/>
              </w:rPr>
              <w:t>学校</w:t>
            </w:r>
          </w:p>
          <w:p w14:paraId="26E0FFCA">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类别</w:t>
            </w:r>
          </w:p>
        </w:tc>
        <w:tc>
          <w:tcPr>
            <w:tcW w:w="850" w:type="dxa"/>
            <w:tcBorders>
              <w:top w:val="single" w:color="auto" w:sz="4" w:space="0"/>
              <w:left w:val="nil"/>
              <w:bottom w:val="single" w:color="auto" w:sz="4" w:space="0"/>
              <w:right w:val="single" w:color="auto" w:sz="4" w:space="0"/>
            </w:tcBorders>
            <w:shd w:val="clear" w:color="auto" w:fill="auto"/>
            <w:noWrap w:val="0"/>
            <w:vAlign w:val="center"/>
          </w:tcPr>
          <w:p w14:paraId="54F08D1D">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新建或改扩建</w:t>
            </w:r>
          </w:p>
        </w:tc>
        <w:tc>
          <w:tcPr>
            <w:tcW w:w="993" w:type="dxa"/>
            <w:tcBorders>
              <w:top w:val="single" w:color="auto" w:sz="4" w:space="0"/>
              <w:left w:val="nil"/>
              <w:bottom w:val="single" w:color="auto" w:sz="4" w:space="0"/>
              <w:right w:val="single" w:color="auto" w:sz="4" w:space="0"/>
            </w:tcBorders>
            <w:shd w:val="clear" w:color="auto" w:fill="auto"/>
            <w:noWrap w:val="0"/>
            <w:vAlign w:val="center"/>
          </w:tcPr>
          <w:p w14:paraId="43930A78">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计划总投资(万元)</w:t>
            </w:r>
          </w:p>
        </w:tc>
        <w:tc>
          <w:tcPr>
            <w:tcW w:w="567" w:type="dxa"/>
            <w:tcBorders>
              <w:top w:val="single" w:color="auto" w:sz="4" w:space="0"/>
              <w:left w:val="nil"/>
              <w:bottom w:val="single" w:color="auto" w:sz="4" w:space="0"/>
              <w:right w:val="single" w:color="auto" w:sz="4" w:space="0"/>
            </w:tcBorders>
            <w:shd w:val="clear" w:color="auto" w:fill="auto"/>
            <w:noWrap w:val="0"/>
            <w:vAlign w:val="center"/>
          </w:tcPr>
          <w:p w14:paraId="42A8B94D">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新增</w:t>
            </w:r>
          </w:p>
          <w:p w14:paraId="5558C1BC">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班级数</w:t>
            </w:r>
          </w:p>
        </w:tc>
        <w:tc>
          <w:tcPr>
            <w:tcW w:w="708" w:type="dxa"/>
            <w:tcBorders>
              <w:top w:val="single" w:color="auto" w:sz="4" w:space="0"/>
              <w:left w:val="nil"/>
              <w:bottom w:val="single" w:color="auto" w:sz="4" w:space="0"/>
              <w:right w:val="single" w:color="auto" w:sz="4" w:space="0"/>
            </w:tcBorders>
            <w:shd w:val="clear" w:color="auto" w:fill="auto"/>
            <w:noWrap w:val="0"/>
            <w:vAlign w:val="center"/>
          </w:tcPr>
          <w:p w14:paraId="5AAE1C33">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新增</w:t>
            </w:r>
          </w:p>
          <w:p w14:paraId="7248F66C">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学位数</w:t>
            </w:r>
          </w:p>
        </w:tc>
        <w:tc>
          <w:tcPr>
            <w:tcW w:w="567" w:type="dxa"/>
            <w:tcBorders>
              <w:top w:val="single" w:color="auto" w:sz="4" w:space="0"/>
              <w:left w:val="nil"/>
              <w:bottom w:val="single" w:color="auto" w:sz="4" w:space="0"/>
              <w:right w:val="single" w:color="auto" w:sz="4" w:space="0"/>
            </w:tcBorders>
            <w:shd w:val="clear" w:color="auto" w:fill="auto"/>
            <w:noWrap w:val="0"/>
            <w:vAlign w:val="center"/>
          </w:tcPr>
          <w:p w14:paraId="0E7F0D1A">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计划竣工时间</w:t>
            </w:r>
          </w:p>
        </w:tc>
        <w:tc>
          <w:tcPr>
            <w:tcW w:w="993" w:type="dxa"/>
            <w:tcBorders>
              <w:top w:val="single" w:color="auto" w:sz="4" w:space="0"/>
              <w:left w:val="nil"/>
              <w:bottom w:val="single" w:color="auto" w:sz="4" w:space="0"/>
              <w:right w:val="single" w:color="auto" w:sz="4" w:space="0"/>
            </w:tcBorders>
            <w:noWrap w:val="0"/>
            <w:vAlign w:val="center"/>
          </w:tcPr>
          <w:p w14:paraId="02B0AE9E">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备注</w:t>
            </w:r>
          </w:p>
        </w:tc>
      </w:tr>
      <w:tr w14:paraId="4729E45B">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783FE115">
            <w:pPr>
              <w:widowControl/>
              <w:jc w:val="center"/>
              <w:rPr>
                <w:rFonts w:ascii="Times New Roman" w:hAnsi="Times New Roman"/>
                <w:kern w:val="0"/>
                <w:sz w:val="17"/>
                <w:szCs w:val="17"/>
              </w:rPr>
            </w:pPr>
            <w:r>
              <w:rPr>
                <w:rFonts w:ascii="Times New Roman" w:hAnsi="Times New Roman"/>
                <w:kern w:val="0"/>
                <w:sz w:val="17"/>
                <w:szCs w:val="17"/>
              </w:rPr>
              <w:t>1</w:t>
            </w:r>
          </w:p>
        </w:tc>
        <w:tc>
          <w:tcPr>
            <w:tcW w:w="851" w:type="dxa"/>
            <w:tcBorders>
              <w:top w:val="nil"/>
              <w:left w:val="nil"/>
              <w:bottom w:val="single" w:color="auto" w:sz="4" w:space="0"/>
              <w:right w:val="single" w:color="auto" w:sz="4" w:space="0"/>
            </w:tcBorders>
            <w:shd w:val="clear" w:color="auto" w:fill="auto"/>
            <w:noWrap w:val="0"/>
            <w:vAlign w:val="center"/>
          </w:tcPr>
          <w:p w14:paraId="7F116E3C">
            <w:pPr>
              <w:widowControl/>
              <w:jc w:val="center"/>
              <w:rPr>
                <w:rFonts w:ascii="Times New Roman" w:hAnsi="Times New Roman"/>
                <w:kern w:val="0"/>
                <w:sz w:val="17"/>
                <w:szCs w:val="17"/>
              </w:rPr>
            </w:pPr>
            <w:r>
              <w:rPr>
                <w:rFonts w:ascii="Times New Roman" w:hAnsi="Times New Roman"/>
                <w:kern w:val="0"/>
                <w:sz w:val="17"/>
                <w:szCs w:val="17"/>
              </w:rPr>
              <w:t>赤坎区</w:t>
            </w:r>
          </w:p>
        </w:tc>
        <w:tc>
          <w:tcPr>
            <w:tcW w:w="2835" w:type="dxa"/>
            <w:tcBorders>
              <w:top w:val="nil"/>
              <w:left w:val="nil"/>
              <w:bottom w:val="single" w:color="auto" w:sz="4" w:space="0"/>
              <w:right w:val="single" w:color="auto" w:sz="4" w:space="0"/>
            </w:tcBorders>
            <w:shd w:val="clear" w:color="auto" w:fill="auto"/>
            <w:noWrap w:val="0"/>
            <w:vAlign w:val="center"/>
          </w:tcPr>
          <w:p w14:paraId="54FEF07E">
            <w:pPr>
              <w:widowControl/>
              <w:jc w:val="center"/>
              <w:rPr>
                <w:rFonts w:ascii="Times New Roman" w:hAnsi="Times New Roman"/>
                <w:kern w:val="0"/>
                <w:sz w:val="17"/>
                <w:szCs w:val="17"/>
              </w:rPr>
            </w:pPr>
            <w:r>
              <w:rPr>
                <w:rFonts w:ascii="Times New Roman" w:hAnsi="Times New Roman"/>
                <w:kern w:val="0"/>
                <w:sz w:val="17"/>
                <w:szCs w:val="17"/>
              </w:rPr>
              <w:t>湛江市第五中学新建综合教学楼</w:t>
            </w:r>
          </w:p>
        </w:tc>
        <w:tc>
          <w:tcPr>
            <w:tcW w:w="992" w:type="dxa"/>
            <w:tcBorders>
              <w:top w:val="nil"/>
              <w:left w:val="nil"/>
              <w:bottom w:val="single" w:color="auto" w:sz="4" w:space="0"/>
              <w:right w:val="single" w:color="auto" w:sz="4" w:space="0"/>
            </w:tcBorders>
            <w:shd w:val="clear" w:color="auto" w:fill="auto"/>
            <w:noWrap w:val="0"/>
            <w:vAlign w:val="center"/>
          </w:tcPr>
          <w:p w14:paraId="3D5C7AC8">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0288A185">
            <w:pPr>
              <w:widowControl/>
              <w:jc w:val="center"/>
              <w:rPr>
                <w:rFonts w:ascii="Times New Roman" w:hAnsi="Times New Roman"/>
                <w:kern w:val="0"/>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3A8B0A40">
            <w:pPr>
              <w:widowControl/>
              <w:jc w:val="center"/>
              <w:rPr>
                <w:rFonts w:ascii="Times New Roman" w:hAnsi="Times New Roman"/>
                <w:kern w:val="0"/>
                <w:sz w:val="17"/>
                <w:szCs w:val="17"/>
              </w:rPr>
            </w:pPr>
            <w:r>
              <w:rPr>
                <w:rFonts w:ascii="Times New Roman" w:hAnsi="Times New Roman"/>
                <w:kern w:val="0"/>
                <w:sz w:val="17"/>
                <w:szCs w:val="17"/>
              </w:rPr>
              <w:t>3351.15</w:t>
            </w:r>
          </w:p>
        </w:tc>
        <w:tc>
          <w:tcPr>
            <w:tcW w:w="567" w:type="dxa"/>
            <w:tcBorders>
              <w:top w:val="nil"/>
              <w:left w:val="nil"/>
              <w:bottom w:val="single" w:color="auto" w:sz="4" w:space="0"/>
              <w:right w:val="single" w:color="auto" w:sz="4" w:space="0"/>
            </w:tcBorders>
            <w:shd w:val="clear" w:color="auto" w:fill="auto"/>
            <w:noWrap w:val="0"/>
            <w:vAlign w:val="center"/>
          </w:tcPr>
          <w:p w14:paraId="0E16FE2B">
            <w:pPr>
              <w:widowControl/>
              <w:jc w:val="center"/>
              <w:rPr>
                <w:rFonts w:ascii="Times New Roman" w:hAnsi="Times New Roman"/>
                <w:kern w:val="0"/>
                <w:sz w:val="17"/>
                <w:szCs w:val="17"/>
              </w:rPr>
            </w:pPr>
            <w:r>
              <w:rPr>
                <w:rFonts w:ascii="Times New Roman" w:hAnsi="Times New Roman"/>
                <w:kern w:val="0"/>
                <w:sz w:val="17"/>
                <w:szCs w:val="17"/>
              </w:rPr>
              <w:t>8</w:t>
            </w:r>
          </w:p>
        </w:tc>
        <w:tc>
          <w:tcPr>
            <w:tcW w:w="708" w:type="dxa"/>
            <w:tcBorders>
              <w:top w:val="nil"/>
              <w:left w:val="nil"/>
              <w:bottom w:val="single" w:color="auto" w:sz="4" w:space="0"/>
              <w:right w:val="single" w:color="auto" w:sz="4" w:space="0"/>
            </w:tcBorders>
            <w:shd w:val="clear" w:color="auto" w:fill="auto"/>
            <w:noWrap w:val="0"/>
            <w:vAlign w:val="center"/>
          </w:tcPr>
          <w:p w14:paraId="665D49FB">
            <w:pPr>
              <w:widowControl/>
              <w:jc w:val="center"/>
              <w:rPr>
                <w:rFonts w:ascii="Times New Roman" w:hAnsi="Times New Roman"/>
                <w:kern w:val="0"/>
                <w:sz w:val="17"/>
                <w:szCs w:val="17"/>
              </w:rPr>
            </w:pPr>
            <w:r>
              <w:rPr>
                <w:rFonts w:ascii="Times New Roman" w:hAnsi="Times New Roman"/>
                <w:kern w:val="0"/>
                <w:sz w:val="17"/>
                <w:szCs w:val="17"/>
              </w:rPr>
              <w:t>400</w:t>
            </w:r>
          </w:p>
        </w:tc>
        <w:tc>
          <w:tcPr>
            <w:tcW w:w="567" w:type="dxa"/>
            <w:tcBorders>
              <w:top w:val="nil"/>
              <w:left w:val="nil"/>
              <w:bottom w:val="single" w:color="auto" w:sz="4" w:space="0"/>
              <w:right w:val="single" w:color="auto" w:sz="4" w:space="0"/>
            </w:tcBorders>
            <w:shd w:val="clear" w:color="auto" w:fill="auto"/>
            <w:noWrap w:val="0"/>
            <w:vAlign w:val="center"/>
          </w:tcPr>
          <w:p w14:paraId="61F2E604">
            <w:pPr>
              <w:widowControl/>
              <w:jc w:val="center"/>
              <w:rPr>
                <w:rFonts w:ascii="Times New Roman" w:hAnsi="Times New Roman"/>
                <w:kern w:val="0"/>
                <w:sz w:val="17"/>
                <w:szCs w:val="17"/>
              </w:rPr>
            </w:pPr>
            <w:r>
              <w:rPr>
                <w:rFonts w:ascii="Times New Roman" w:hAnsi="Times New Roman"/>
                <w:kern w:val="0"/>
                <w:sz w:val="17"/>
                <w:szCs w:val="17"/>
              </w:rPr>
              <w:t>2022</w:t>
            </w:r>
          </w:p>
        </w:tc>
        <w:tc>
          <w:tcPr>
            <w:tcW w:w="993" w:type="dxa"/>
            <w:tcBorders>
              <w:top w:val="nil"/>
              <w:left w:val="nil"/>
              <w:bottom w:val="single" w:color="auto" w:sz="4" w:space="0"/>
              <w:right w:val="single" w:color="auto" w:sz="4" w:space="0"/>
            </w:tcBorders>
            <w:noWrap w:val="0"/>
            <w:vAlign w:val="center"/>
          </w:tcPr>
          <w:p w14:paraId="716AD3F9">
            <w:pPr>
              <w:widowControl/>
              <w:jc w:val="center"/>
              <w:rPr>
                <w:rFonts w:ascii="Times New Roman" w:hAnsi="Times New Roman"/>
                <w:kern w:val="0"/>
                <w:sz w:val="17"/>
                <w:szCs w:val="17"/>
              </w:rPr>
            </w:pPr>
            <w:r>
              <w:rPr>
                <w:rFonts w:ascii="Times New Roman" w:hAnsi="Times New Roman"/>
                <w:kern w:val="0"/>
                <w:sz w:val="17"/>
                <w:szCs w:val="17"/>
              </w:rPr>
              <w:t>已完成</w:t>
            </w:r>
          </w:p>
        </w:tc>
      </w:tr>
      <w:tr w14:paraId="2BDEDCB5">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462A9B2B">
            <w:pPr>
              <w:widowControl/>
              <w:jc w:val="center"/>
              <w:rPr>
                <w:rFonts w:ascii="Times New Roman" w:hAnsi="Times New Roman"/>
                <w:kern w:val="0"/>
                <w:sz w:val="17"/>
                <w:szCs w:val="17"/>
              </w:rPr>
            </w:pPr>
            <w:r>
              <w:rPr>
                <w:rFonts w:ascii="Times New Roman" w:hAnsi="Times New Roman"/>
                <w:kern w:val="0"/>
                <w:sz w:val="17"/>
                <w:szCs w:val="17"/>
              </w:rPr>
              <w:t>2</w:t>
            </w:r>
          </w:p>
        </w:tc>
        <w:tc>
          <w:tcPr>
            <w:tcW w:w="851" w:type="dxa"/>
            <w:vMerge w:val="restart"/>
            <w:tcBorders>
              <w:top w:val="nil"/>
              <w:left w:val="single" w:color="auto" w:sz="4" w:space="0"/>
              <w:bottom w:val="single" w:color="auto" w:sz="4" w:space="0"/>
              <w:right w:val="single" w:color="auto" w:sz="4" w:space="0"/>
            </w:tcBorders>
            <w:shd w:val="clear" w:color="auto" w:fill="auto"/>
            <w:noWrap w:val="0"/>
            <w:vAlign w:val="center"/>
          </w:tcPr>
          <w:p w14:paraId="5CA58E48">
            <w:pPr>
              <w:widowControl/>
              <w:jc w:val="center"/>
              <w:rPr>
                <w:rFonts w:ascii="Times New Roman" w:hAnsi="Times New Roman"/>
                <w:kern w:val="0"/>
                <w:sz w:val="17"/>
                <w:szCs w:val="17"/>
              </w:rPr>
            </w:pPr>
            <w:r>
              <w:rPr>
                <w:rFonts w:ascii="Times New Roman" w:hAnsi="Times New Roman"/>
                <w:kern w:val="0"/>
                <w:sz w:val="17"/>
                <w:szCs w:val="17"/>
              </w:rPr>
              <w:t>霞山区</w:t>
            </w:r>
          </w:p>
        </w:tc>
        <w:tc>
          <w:tcPr>
            <w:tcW w:w="2835" w:type="dxa"/>
            <w:tcBorders>
              <w:top w:val="nil"/>
              <w:left w:val="nil"/>
              <w:bottom w:val="single" w:color="auto" w:sz="4" w:space="0"/>
              <w:right w:val="single" w:color="auto" w:sz="4" w:space="0"/>
            </w:tcBorders>
            <w:shd w:val="clear" w:color="auto" w:fill="auto"/>
            <w:noWrap w:val="0"/>
            <w:vAlign w:val="center"/>
          </w:tcPr>
          <w:p w14:paraId="2D231463">
            <w:pPr>
              <w:widowControl/>
              <w:jc w:val="center"/>
              <w:rPr>
                <w:rFonts w:ascii="Times New Roman" w:hAnsi="Times New Roman"/>
                <w:kern w:val="0"/>
                <w:sz w:val="17"/>
                <w:szCs w:val="17"/>
              </w:rPr>
            </w:pPr>
            <w:r>
              <w:rPr>
                <w:rFonts w:ascii="Times New Roman" w:hAnsi="Times New Roman"/>
                <w:kern w:val="0"/>
                <w:sz w:val="17"/>
                <w:szCs w:val="17"/>
              </w:rPr>
              <w:t>湛江市第二十一中学新校区</w:t>
            </w:r>
          </w:p>
        </w:tc>
        <w:tc>
          <w:tcPr>
            <w:tcW w:w="992" w:type="dxa"/>
            <w:tcBorders>
              <w:top w:val="nil"/>
              <w:left w:val="nil"/>
              <w:bottom w:val="single" w:color="auto" w:sz="4" w:space="0"/>
              <w:right w:val="single" w:color="auto" w:sz="4" w:space="0"/>
            </w:tcBorders>
            <w:shd w:val="clear" w:color="auto" w:fill="auto"/>
            <w:noWrap w:val="0"/>
            <w:vAlign w:val="center"/>
          </w:tcPr>
          <w:p w14:paraId="6D78EB2F">
            <w:pPr>
              <w:widowControl/>
              <w:jc w:val="center"/>
              <w:rPr>
                <w:rFonts w:ascii="Times New Roman" w:hAnsi="Times New Roman"/>
                <w:kern w:val="0"/>
                <w:sz w:val="17"/>
                <w:szCs w:val="17"/>
              </w:rPr>
            </w:pPr>
            <w:r>
              <w:rPr>
                <w:rFonts w:ascii="Times New Roman" w:hAnsi="Times New Roman"/>
                <w:kern w:val="0"/>
                <w:sz w:val="17"/>
                <w:szCs w:val="17"/>
              </w:rPr>
              <w:t>高级中学</w:t>
            </w:r>
          </w:p>
        </w:tc>
        <w:tc>
          <w:tcPr>
            <w:tcW w:w="850" w:type="dxa"/>
            <w:tcBorders>
              <w:top w:val="nil"/>
              <w:left w:val="nil"/>
              <w:bottom w:val="single" w:color="auto" w:sz="4" w:space="0"/>
              <w:right w:val="single" w:color="auto" w:sz="4" w:space="0"/>
            </w:tcBorders>
            <w:shd w:val="clear" w:color="auto" w:fill="auto"/>
            <w:noWrap w:val="0"/>
            <w:vAlign w:val="center"/>
          </w:tcPr>
          <w:p w14:paraId="0B7FC036">
            <w:pPr>
              <w:widowControl/>
              <w:jc w:val="center"/>
              <w:rPr>
                <w:rFonts w:ascii="Times New Roman" w:hAnsi="Times New Roman"/>
                <w:kern w:val="0"/>
                <w:sz w:val="17"/>
                <w:szCs w:val="17"/>
              </w:rPr>
            </w:pPr>
            <w:r>
              <w:rPr>
                <w:rFonts w:ascii="Times New Roman" w:hAnsi="Times New Roman"/>
                <w:kern w:val="0"/>
                <w:sz w:val="17"/>
                <w:szCs w:val="17"/>
              </w:rPr>
              <w:t>新建</w:t>
            </w:r>
          </w:p>
        </w:tc>
        <w:tc>
          <w:tcPr>
            <w:tcW w:w="993" w:type="dxa"/>
            <w:tcBorders>
              <w:top w:val="nil"/>
              <w:left w:val="nil"/>
              <w:bottom w:val="single" w:color="auto" w:sz="4" w:space="0"/>
              <w:right w:val="single" w:color="auto" w:sz="4" w:space="0"/>
            </w:tcBorders>
            <w:shd w:val="clear" w:color="auto" w:fill="auto"/>
            <w:noWrap w:val="0"/>
            <w:vAlign w:val="center"/>
          </w:tcPr>
          <w:p w14:paraId="2B40A280">
            <w:pPr>
              <w:widowControl/>
              <w:jc w:val="center"/>
              <w:rPr>
                <w:rFonts w:ascii="Times New Roman" w:hAnsi="Times New Roman"/>
                <w:kern w:val="0"/>
                <w:sz w:val="17"/>
                <w:szCs w:val="17"/>
              </w:rPr>
            </w:pPr>
            <w:r>
              <w:rPr>
                <w:rFonts w:ascii="Times New Roman" w:hAnsi="Times New Roman"/>
                <w:kern w:val="0"/>
                <w:sz w:val="17"/>
                <w:szCs w:val="17"/>
              </w:rPr>
              <w:t>27630.47</w:t>
            </w:r>
          </w:p>
        </w:tc>
        <w:tc>
          <w:tcPr>
            <w:tcW w:w="567" w:type="dxa"/>
            <w:tcBorders>
              <w:top w:val="nil"/>
              <w:left w:val="nil"/>
              <w:bottom w:val="single" w:color="auto" w:sz="4" w:space="0"/>
              <w:right w:val="single" w:color="auto" w:sz="4" w:space="0"/>
            </w:tcBorders>
            <w:shd w:val="clear" w:color="auto" w:fill="auto"/>
            <w:noWrap w:val="0"/>
            <w:vAlign w:val="center"/>
          </w:tcPr>
          <w:p w14:paraId="166A036F">
            <w:pPr>
              <w:widowControl/>
              <w:jc w:val="center"/>
              <w:rPr>
                <w:rFonts w:ascii="Times New Roman" w:hAnsi="Times New Roman"/>
                <w:kern w:val="0"/>
                <w:sz w:val="17"/>
                <w:szCs w:val="17"/>
              </w:rPr>
            </w:pPr>
            <w:r>
              <w:rPr>
                <w:rFonts w:ascii="Times New Roman" w:hAnsi="Times New Roman"/>
                <w:kern w:val="0"/>
                <w:sz w:val="17"/>
                <w:szCs w:val="17"/>
              </w:rPr>
              <w:t>72</w:t>
            </w:r>
          </w:p>
        </w:tc>
        <w:tc>
          <w:tcPr>
            <w:tcW w:w="708" w:type="dxa"/>
            <w:tcBorders>
              <w:top w:val="nil"/>
              <w:left w:val="nil"/>
              <w:bottom w:val="single" w:color="auto" w:sz="4" w:space="0"/>
              <w:right w:val="single" w:color="auto" w:sz="4" w:space="0"/>
            </w:tcBorders>
            <w:shd w:val="clear" w:color="auto" w:fill="auto"/>
            <w:noWrap w:val="0"/>
            <w:vAlign w:val="center"/>
          </w:tcPr>
          <w:p w14:paraId="5314DBEB">
            <w:pPr>
              <w:widowControl/>
              <w:jc w:val="center"/>
              <w:rPr>
                <w:rFonts w:ascii="Times New Roman" w:hAnsi="Times New Roman"/>
                <w:kern w:val="0"/>
                <w:sz w:val="17"/>
                <w:szCs w:val="17"/>
              </w:rPr>
            </w:pPr>
            <w:r>
              <w:rPr>
                <w:rFonts w:ascii="Times New Roman" w:hAnsi="Times New Roman"/>
                <w:kern w:val="0"/>
                <w:sz w:val="17"/>
                <w:szCs w:val="17"/>
              </w:rPr>
              <w:t>3600</w:t>
            </w:r>
          </w:p>
        </w:tc>
        <w:tc>
          <w:tcPr>
            <w:tcW w:w="567" w:type="dxa"/>
            <w:tcBorders>
              <w:top w:val="nil"/>
              <w:left w:val="nil"/>
              <w:bottom w:val="single" w:color="auto" w:sz="4" w:space="0"/>
              <w:right w:val="single" w:color="auto" w:sz="4" w:space="0"/>
            </w:tcBorders>
            <w:shd w:val="clear" w:color="auto" w:fill="auto"/>
            <w:noWrap w:val="0"/>
            <w:vAlign w:val="center"/>
          </w:tcPr>
          <w:p w14:paraId="3344C8BD">
            <w:pPr>
              <w:widowControl/>
              <w:jc w:val="center"/>
              <w:rPr>
                <w:rFonts w:ascii="Times New Roman" w:hAnsi="Times New Roman"/>
                <w:kern w:val="0"/>
                <w:sz w:val="17"/>
                <w:szCs w:val="17"/>
              </w:rPr>
            </w:pPr>
            <w:r>
              <w:rPr>
                <w:rFonts w:ascii="Times New Roman" w:hAnsi="Times New Roman"/>
                <w:kern w:val="0"/>
                <w:sz w:val="17"/>
                <w:szCs w:val="17"/>
              </w:rPr>
              <w:t>2021</w:t>
            </w:r>
          </w:p>
        </w:tc>
        <w:tc>
          <w:tcPr>
            <w:tcW w:w="993" w:type="dxa"/>
            <w:tcBorders>
              <w:top w:val="nil"/>
              <w:left w:val="nil"/>
              <w:bottom w:val="single" w:color="auto" w:sz="4" w:space="0"/>
              <w:right w:val="single" w:color="auto" w:sz="4" w:space="0"/>
            </w:tcBorders>
            <w:noWrap w:val="0"/>
            <w:vAlign w:val="center"/>
          </w:tcPr>
          <w:p w14:paraId="339AD0DA">
            <w:pPr>
              <w:widowControl/>
              <w:jc w:val="center"/>
              <w:rPr>
                <w:rFonts w:ascii="Times New Roman" w:hAnsi="Times New Roman"/>
                <w:kern w:val="0"/>
                <w:sz w:val="17"/>
                <w:szCs w:val="17"/>
              </w:rPr>
            </w:pPr>
            <w:r>
              <w:rPr>
                <w:rFonts w:ascii="Times New Roman" w:hAnsi="Times New Roman"/>
                <w:kern w:val="0"/>
                <w:sz w:val="17"/>
                <w:szCs w:val="17"/>
              </w:rPr>
              <w:t>已完成</w:t>
            </w:r>
          </w:p>
        </w:tc>
      </w:tr>
      <w:tr w14:paraId="75A81DF4">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6E4D74C6">
            <w:pPr>
              <w:widowControl/>
              <w:jc w:val="center"/>
              <w:rPr>
                <w:rFonts w:ascii="Times New Roman" w:hAnsi="Times New Roman"/>
                <w:kern w:val="0"/>
                <w:sz w:val="17"/>
                <w:szCs w:val="17"/>
              </w:rPr>
            </w:pPr>
            <w:r>
              <w:rPr>
                <w:rFonts w:ascii="Times New Roman" w:hAnsi="Times New Roman"/>
                <w:kern w:val="0"/>
                <w:sz w:val="17"/>
                <w:szCs w:val="17"/>
              </w:rPr>
              <w:t>3</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CD5787">
            <w:pPr>
              <w:widowControl/>
              <w:jc w:val="center"/>
              <w:rPr>
                <w:rFonts w:ascii="Times New Roman" w:hAnsi="Times New Roman"/>
                <w:kern w:val="0"/>
                <w:sz w:val="17"/>
                <w:szCs w:val="17"/>
              </w:rPr>
            </w:pPr>
          </w:p>
        </w:tc>
        <w:tc>
          <w:tcPr>
            <w:tcW w:w="2835" w:type="dxa"/>
            <w:tcBorders>
              <w:top w:val="nil"/>
              <w:left w:val="nil"/>
              <w:bottom w:val="single" w:color="auto" w:sz="4" w:space="0"/>
              <w:right w:val="single" w:color="auto" w:sz="4" w:space="0"/>
            </w:tcBorders>
            <w:shd w:val="clear" w:color="auto" w:fill="auto"/>
            <w:noWrap w:val="0"/>
            <w:vAlign w:val="center"/>
          </w:tcPr>
          <w:p w14:paraId="5EB96F66">
            <w:pPr>
              <w:widowControl/>
              <w:jc w:val="center"/>
              <w:rPr>
                <w:rFonts w:ascii="Times New Roman" w:hAnsi="Times New Roman"/>
                <w:kern w:val="0"/>
                <w:sz w:val="17"/>
                <w:szCs w:val="17"/>
              </w:rPr>
            </w:pPr>
            <w:r>
              <w:rPr>
                <w:rFonts w:ascii="Times New Roman" w:hAnsi="Times New Roman"/>
                <w:kern w:val="0"/>
                <w:sz w:val="17"/>
                <w:szCs w:val="17"/>
              </w:rPr>
              <w:t>湛江市第十中学新建高中部教学楼</w:t>
            </w:r>
          </w:p>
        </w:tc>
        <w:tc>
          <w:tcPr>
            <w:tcW w:w="992" w:type="dxa"/>
            <w:tcBorders>
              <w:top w:val="nil"/>
              <w:left w:val="nil"/>
              <w:bottom w:val="single" w:color="auto" w:sz="4" w:space="0"/>
              <w:right w:val="single" w:color="auto" w:sz="4" w:space="0"/>
            </w:tcBorders>
            <w:shd w:val="clear" w:color="auto" w:fill="auto"/>
            <w:noWrap w:val="0"/>
            <w:vAlign w:val="center"/>
          </w:tcPr>
          <w:p w14:paraId="6D188C24">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13D3713D">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319C8723">
            <w:pPr>
              <w:widowControl/>
              <w:jc w:val="center"/>
              <w:rPr>
                <w:rFonts w:ascii="Times New Roman" w:hAnsi="Times New Roman"/>
                <w:kern w:val="0"/>
                <w:sz w:val="17"/>
                <w:szCs w:val="17"/>
              </w:rPr>
            </w:pPr>
            <w:r>
              <w:rPr>
                <w:rFonts w:ascii="Times New Roman" w:hAnsi="Times New Roman"/>
                <w:kern w:val="0"/>
                <w:sz w:val="17"/>
                <w:szCs w:val="17"/>
              </w:rPr>
              <w:t>6000</w:t>
            </w:r>
          </w:p>
        </w:tc>
        <w:tc>
          <w:tcPr>
            <w:tcW w:w="567" w:type="dxa"/>
            <w:tcBorders>
              <w:top w:val="nil"/>
              <w:left w:val="nil"/>
              <w:bottom w:val="single" w:color="auto" w:sz="4" w:space="0"/>
              <w:right w:val="single" w:color="auto" w:sz="4" w:space="0"/>
            </w:tcBorders>
            <w:shd w:val="clear" w:color="auto" w:fill="auto"/>
            <w:noWrap w:val="0"/>
            <w:vAlign w:val="center"/>
          </w:tcPr>
          <w:p w14:paraId="166605CE">
            <w:pPr>
              <w:widowControl/>
              <w:jc w:val="center"/>
              <w:rPr>
                <w:rFonts w:ascii="Times New Roman" w:hAnsi="Times New Roman"/>
                <w:kern w:val="0"/>
                <w:sz w:val="17"/>
                <w:szCs w:val="17"/>
              </w:rPr>
            </w:pPr>
            <w:r>
              <w:rPr>
                <w:rFonts w:ascii="Times New Roman" w:hAnsi="Times New Roman"/>
                <w:kern w:val="0"/>
                <w:sz w:val="17"/>
                <w:szCs w:val="17"/>
              </w:rPr>
              <w:t>28</w:t>
            </w:r>
          </w:p>
        </w:tc>
        <w:tc>
          <w:tcPr>
            <w:tcW w:w="708" w:type="dxa"/>
            <w:tcBorders>
              <w:top w:val="nil"/>
              <w:left w:val="nil"/>
              <w:bottom w:val="single" w:color="auto" w:sz="4" w:space="0"/>
              <w:right w:val="single" w:color="auto" w:sz="4" w:space="0"/>
            </w:tcBorders>
            <w:shd w:val="clear" w:color="auto" w:fill="auto"/>
            <w:noWrap w:val="0"/>
            <w:vAlign w:val="center"/>
          </w:tcPr>
          <w:p w14:paraId="5BEB6548">
            <w:pPr>
              <w:widowControl/>
              <w:jc w:val="center"/>
              <w:rPr>
                <w:rFonts w:ascii="Times New Roman" w:hAnsi="Times New Roman"/>
                <w:kern w:val="0"/>
                <w:sz w:val="17"/>
                <w:szCs w:val="17"/>
              </w:rPr>
            </w:pPr>
            <w:r>
              <w:rPr>
                <w:rFonts w:ascii="Times New Roman" w:hAnsi="Times New Roman"/>
                <w:kern w:val="0"/>
                <w:sz w:val="17"/>
                <w:szCs w:val="17"/>
              </w:rPr>
              <w:t>1400</w:t>
            </w:r>
          </w:p>
        </w:tc>
        <w:tc>
          <w:tcPr>
            <w:tcW w:w="567" w:type="dxa"/>
            <w:tcBorders>
              <w:top w:val="nil"/>
              <w:left w:val="nil"/>
              <w:bottom w:val="single" w:color="auto" w:sz="4" w:space="0"/>
              <w:right w:val="single" w:color="auto" w:sz="4" w:space="0"/>
            </w:tcBorders>
            <w:shd w:val="clear" w:color="auto" w:fill="auto"/>
            <w:noWrap w:val="0"/>
            <w:vAlign w:val="center"/>
          </w:tcPr>
          <w:p w14:paraId="64BC7EE0">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60B0B478">
            <w:pPr>
              <w:widowControl/>
              <w:jc w:val="center"/>
              <w:rPr>
                <w:rFonts w:ascii="Times New Roman" w:hAnsi="Times New Roman"/>
                <w:kern w:val="0"/>
                <w:sz w:val="17"/>
                <w:szCs w:val="17"/>
              </w:rPr>
            </w:pPr>
          </w:p>
        </w:tc>
      </w:tr>
      <w:tr w14:paraId="3C151029">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00A45077">
            <w:pPr>
              <w:widowControl/>
              <w:jc w:val="center"/>
              <w:rPr>
                <w:rFonts w:ascii="Times New Roman" w:hAnsi="Times New Roman"/>
                <w:kern w:val="0"/>
                <w:sz w:val="17"/>
                <w:szCs w:val="17"/>
              </w:rPr>
            </w:pPr>
            <w:r>
              <w:rPr>
                <w:rFonts w:ascii="Times New Roman" w:hAnsi="Times New Roman"/>
                <w:kern w:val="0"/>
                <w:sz w:val="17"/>
                <w:szCs w:val="17"/>
              </w:rPr>
              <w:t>4</w:t>
            </w:r>
          </w:p>
        </w:tc>
        <w:tc>
          <w:tcPr>
            <w:tcW w:w="851" w:type="dxa"/>
            <w:vMerge w:val="restart"/>
            <w:tcBorders>
              <w:top w:val="nil"/>
              <w:left w:val="single" w:color="auto" w:sz="4" w:space="0"/>
              <w:bottom w:val="single" w:color="auto" w:sz="4" w:space="0"/>
              <w:right w:val="single" w:color="auto" w:sz="4" w:space="0"/>
            </w:tcBorders>
            <w:shd w:val="clear" w:color="auto" w:fill="auto"/>
            <w:noWrap w:val="0"/>
            <w:vAlign w:val="center"/>
          </w:tcPr>
          <w:p w14:paraId="084C5C7D">
            <w:pPr>
              <w:widowControl/>
              <w:jc w:val="center"/>
              <w:rPr>
                <w:rFonts w:ascii="Times New Roman" w:hAnsi="Times New Roman"/>
                <w:kern w:val="0"/>
                <w:sz w:val="17"/>
                <w:szCs w:val="17"/>
              </w:rPr>
            </w:pPr>
            <w:r>
              <w:rPr>
                <w:rFonts w:ascii="Times New Roman" w:hAnsi="Times New Roman"/>
                <w:kern w:val="0"/>
                <w:sz w:val="17"/>
                <w:szCs w:val="17"/>
              </w:rPr>
              <w:t>廉江市</w:t>
            </w:r>
          </w:p>
        </w:tc>
        <w:tc>
          <w:tcPr>
            <w:tcW w:w="2835" w:type="dxa"/>
            <w:tcBorders>
              <w:top w:val="nil"/>
              <w:left w:val="nil"/>
              <w:bottom w:val="single" w:color="auto" w:sz="4" w:space="0"/>
              <w:right w:val="single" w:color="auto" w:sz="4" w:space="0"/>
            </w:tcBorders>
            <w:shd w:val="clear" w:color="auto" w:fill="auto"/>
            <w:noWrap w:val="0"/>
            <w:vAlign w:val="center"/>
          </w:tcPr>
          <w:p w14:paraId="5468DA4F">
            <w:pPr>
              <w:widowControl/>
              <w:jc w:val="center"/>
              <w:rPr>
                <w:rFonts w:ascii="Times New Roman" w:hAnsi="Times New Roman"/>
                <w:kern w:val="0"/>
                <w:sz w:val="17"/>
                <w:szCs w:val="17"/>
              </w:rPr>
            </w:pPr>
            <w:r>
              <w:rPr>
                <w:rFonts w:ascii="Times New Roman" w:hAnsi="Times New Roman"/>
                <w:kern w:val="0"/>
                <w:sz w:val="17"/>
                <w:szCs w:val="17"/>
              </w:rPr>
              <w:t>恢复廉江市青平中学高中办学项目</w:t>
            </w:r>
          </w:p>
        </w:tc>
        <w:tc>
          <w:tcPr>
            <w:tcW w:w="992" w:type="dxa"/>
            <w:tcBorders>
              <w:top w:val="nil"/>
              <w:left w:val="nil"/>
              <w:bottom w:val="single" w:color="auto" w:sz="4" w:space="0"/>
              <w:right w:val="single" w:color="auto" w:sz="4" w:space="0"/>
            </w:tcBorders>
            <w:shd w:val="clear" w:color="auto" w:fill="auto"/>
            <w:noWrap w:val="0"/>
            <w:vAlign w:val="center"/>
          </w:tcPr>
          <w:p w14:paraId="15DAC16D">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71D42259">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26088076">
            <w:pPr>
              <w:widowControl/>
              <w:jc w:val="center"/>
              <w:rPr>
                <w:rFonts w:ascii="Times New Roman" w:hAnsi="Times New Roman"/>
                <w:kern w:val="0"/>
                <w:sz w:val="17"/>
                <w:szCs w:val="17"/>
              </w:rPr>
            </w:pPr>
            <w:r>
              <w:rPr>
                <w:rFonts w:ascii="Times New Roman" w:hAnsi="Times New Roman"/>
                <w:kern w:val="0"/>
                <w:sz w:val="17"/>
                <w:szCs w:val="17"/>
              </w:rPr>
              <w:t>1800</w:t>
            </w:r>
          </w:p>
        </w:tc>
        <w:tc>
          <w:tcPr>
            <w:tcW w:w="567" w:type="dxa"/>
            <w:tcBorders>
              <w:top w:val="nil"/>
              <w:left w:val="nil"/>
              <w:bottom w:val="single" w:color="auto" w:sz="4" w:space="0"/>
              <w:right w:val="single" w:color="auto" w:sz="4" w:space="0"/>
            </w:tcBorders>
            <w:shd w:val="clear" w:color="auto" w:fill="auto"/>
            <w:noWrap w:val="0"/>
            <w:vAlign w:val="center"/>
          </w:tcPr>
          <w:p w14:paraId="4D98EFEF">
            <w:pPr>
              <w:widowControl/>
              <w:jc w:val="center"/>
              <w:rPr>
                <w:rFonts w:ascii="Times New Roman" w:hAnsi="Times New Roman"/>
                <w:kern w:val="0"/>
                <w:sz w:val="17"/>
                <w:szCs w:val="17"/>
              </w:rPr>
            </w:pPr>
            <w:r>
              <w:rPr>
                <w:rFonts w:ascii="Times New Roman" w:hAnsi="Times New Roman"/>
                <w:kern w:val="0"/>
                <w:sz w:val="17"/>
                <w:szCs w:val="17"/>
              </w:rPr>
              <w:t>30</w:t>
            </w:r>
          </w:p>
        </w:tc>
        <w:tc>
          <w:tcPr>
            <w:tcW w:w="708" w:type="dxa"/>
            <w:tcBorders>
              <w:top w:val="nil"/>
              <w:left w:val="nil"/>
              <w:bottom w:val="single" w:color="auto" w:sz="4" w:space="0"/>
              <w:right w:val="single" w:color="auto" w:sz="4" w:space="0"/>
            </w:tcBorders>
            <w:shd w:val="clear" w:color="auto" w:fill="auto"/>
            <w:noWrap w:val="0"/>
            <w:vAlign w:val="center"/>
          </w:tcPr>
          <w:p w14:paraId="70436F87">
            <w:pPr>
              <w:widowControl/>
              <w:jc w:val="center"/>
              <w:rPr>
                <w:rFonts w:ascii="Times New Roman" w:hAnsi="Times New Roman"/>
                <w:kern w:val="0"/>
                <w:sz w:val="17"/>
                <w:szCs w:val="17"/>
              </w:rPr>
            </w:pPr>
            <w:r>
              <w:rPr>
                <w:rFonts w:ascii="Times New Roman" w:hAnsi="Times New Roman"/>
                <w:kern w:val="0"/>
                <w:sz w:val="17"/>
                <w:szCs w:val="17"/>
              </w:rPr>
              <w:t>1500</w:t>
            </w:r>
          </w:p>
        </w:tc>
        <w:tc>
          <w:tcPr>
            <w:tcW w:w="567" w:type="dxa"/>
            <w:tcBorders>
              <w:top w:val="nil"/>
              <w:left w:val="nil"/>
              <w:bottom w:val="single" w:color="auto" w:sz="4" w:space="0"/>
              <w:right w:val="single" w:color="auto" w:sz="4" w:space="0"/>
            </w:tcBorders>
            <w:shd w:val="clear" w:color="auto" w:fill="auto"/>
            <w:noWrap w:val="0"/>
            <w:vAlign w:val="center"/>
          </w:tcPr>
          <w:p w14:paraId="171B50D5">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6D0C3219">
            <w:pPr>
              <w:widowControl/>
              <w:jc w:val="center"/>
              <w:rPr>
                <w:rFonts w:ascii="Times New Roman" w:hAnsi="Times New Roman"/>
                <w:kern w:val="0"/>
                <w:sz w:val="17"/>
                <w:szCs w:val="17"/>
              </w:rPr>
            </w:pPr>
          </w:p>
        </w:tc>
      </w:tr>
      <w:tr w14:paraId="4B490A79">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5DD2C724">
            <w:pPr>
              <w:widowControl/>
              <w:jc w:val="center"/>
              <w:rPr>
                <w:rFonts w:ascii="Times New Roman" w:hAnsi="Times New Roman"/>
                <w:kern w:val="0"/>
                <w:sz w:val="17"/>
                <w:szCs w:val="17"/>
              </w:rPr>
            </w:pPr>
            <w:r>
              <w:rPr>
                <w:rFonts w:ascii="Times New Roman" w:hAnsi="Times New Roman"/>
                <w:kern w:val="0"/>
                <w:sz w:val="17"/>
                <w:szCs w:val="17"/>
              </w:rPr>
              <w:t>5</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BBB029">
            <w:pPr>
              <w:widowControl/>
              <w:jc w:val="center"/>
              <w:rPr>
                <w:rFonts w:ascii="Times New Roman" w:hAnsi="Times New Roman"/>
                <w:kern w:val="0"/>
                <w:sz w:val="17"/>
                <w:szCs w:val="17"/>
              </w:rPr>
            </w:pPr>
          </w:p>
        </w:tc>
        <w:tc>
          <w:tcPr>
            <w:tcW w:w="2835" w:type="dxa"/>
            <w:tcBorders>
              <w:top w:val="nil"/>
              <w:left w:val="nil"/>
              <w:bottom w:val="single" w:color="auto" w:sz="4" w:space="0"/>
              <w:right w:val="single" w:color="auto" w:sz="4" w:space="0"/>
            </w:tcBorders>
            <w:shd w:val="clear" w:color="auto" w:fill="auto"/>
            <w:noWrap w:val="0"/>
            <w:vAlign w:val="center"/>
          </w:tcPr>
          <w:p w14:paraId="730ED83A">
            <w:pPr>
              <w:widowControl/>
              <w:jc w:val="center"/>
              <w:rPr>
                <w:rFonts w:ascii="Times New Roman" w:hAnsi="Times New Roman"/>
                <w:kern w:val="0"/>
                <w:sz w:val="17"/>
                <w:szCs w:val="17"/>
              </w:rPr>
            </w:pPr>
            <w:r>
              <w:rPr>
                <w:rFonts w:ascii="Times New Roman" w:hAnsi="Times New Roman"/>
                <w:kern w:val="0"/>
                <w:sz w:val="17"/>
                <w:szCs w:val="17"/>
              </w:rPr>
              <w:t>恢复廉江市石岭中学高中办学项目</w:t>
            </w:r>
          </w:p>
        </w:tc>
        <w:tc>
          <w:tcPr>
            <w:tcW w:w="992" w:type="dxa"/>
            <w:tcBorders>
              <w:top w:val="nil"/>
              <w:left w:val="nil"/>
              <w:bottom w:val="single" w:color="auto" w:sz="4" w:space="0"/>
              <w:right w:val="single" w:color="auto" w:sz="4" w:space="0"/>
            </w:tcBorders>
            <w:shd w:val="clear" w:color="auto" w:fill="auto"/>
            <w:noWrap w:val="0"/>
            <w:vAlign w:val="center"/>
          </w:tcPr>
          <w:p w14:paraId="0588F09D">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4E7EB396">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443C5599">
            <w:pPr>
              <w:widowControl/>
              <w:jc w:val="center"/>
              <w:rPr>
                <w:rFonts w:ascii="Times New Roman" w:hAnsi="Times New Roman"/>
                <w:kern w:val="0"/>
                <w:sz w:val="17"/>
                <w:szCs w:val="17"/>
              </w:rPr>
            </w:pPr>
            <w:r>
              <w:rPr>
                <w:rFonts w:ascii="Times New Roman" w:hAnsi="Times New Roman"/>
                <w:kern w:val="0"/>
                <w:sz w:val="17"/>
                <w:szCs w:val="17"/>
              </w:rPr>
              <w:t>1880</w:t>
            </w:r>
          </w:p>
        </w:tc>
        <w:tc>
          <w:tcPr>
            <w:tcW w:w="567" w:type="dxa"/>
            <w:tcBorders>
              <w:top w:val="nil"/>
              <w:left w:val="nil"/>
              <w:bottom w:val="single" w:color="auto" w:sz="4" w:space="0"/>
              <w:right w:val="single" w:color="auto" w:sz="4" w:space="0"/>
            </w:tcBorders>
            <w:shd w:val="clear" w:color="auto" w:fill="auto"/>
            <w:noWrap w:val="0"/>
            <w:vAlign w:val="center"/>
          </w:tcPr>
          <w:p w14:paraId="08AF6378">
            <w:pPr>
              <w:widowControl/>
              <w:jc w:val="center"/>
              <w:rPr>
                <w:rFonts w:ascii="Times New Roman" w:hAnsi="Times New Roman"/>
                <w:kern w:val="0"/>
                <w:sz w:val="17"/>
                <w:szCs w:val="17"/>
              </w:rPr>
            </w:pPr>
            <w:r>
              <w:rPr>
                <w:rFonts w:ascii="Times New Roman" w:hAnsi="Times New Roman"/>
                <w:kern w:val="0"/>
                <w:sz w:val="17"/>
                <w:szCs w:val="17"/>
              </w:rPr>
              <w:t>30</w:t>
            </w:r>
          </w:p>
        </w:tc>
        <w:tc>
          <w:tcPr>
            <w:tcW w:w="708" w:type="dxa"/>
            <w:tcBorders>
              <w:top w:val="nil"/>
              <w:left w:val="nil"/>
              <w:bottom w:val="single" w:color="auto" w:sz="4" w:space="0"/>
              <w:right w:val="single" w:color="auto" w:sz="4" w:space="0"/>
            </w:tcBorders>
            <w:shd w:val="clear" w:color="auto" w:fill="auto"/>
            <w:noWrap w:val="0"/>
            <w:vAlign w:val="center"/>
          </w:tcPr>
          <w:p w14:paraId="15ECA6C2">
            <w:pPr>
              <w:widowControl/>
              <w:jc w:val="center"/>
              <w:rPr>
                <w:rFonts w:ascii="Times New Roman" w:hAnsi="Times New Roman"/>
                <w:kern w:val="0"/>
                <w:sz w:val="17"/>
                <w:szCs w:val="17"/>
              </w:rPr>
            </w:pPr>
            <w:r>
              <w:rPr>
                <w:rFonts w:ascii="Times New Roman" w:hAnsi="Times New Roman"/>
                <w:kern w:val="0"/>
                <w:sz w:val="17"/>
                <w:szCs w:val="17"/>
              </w:rPr>
              <w:t>1500</w:t>
            </w:r>
          </w:p>
        </w:tc>
        <w:tc>
          <w:tcPr>
            <w:tcW w:w="567" w:type="dxa"/>
            <w:tcBorders>
              <w:top w:val="nil"/>
              <w:left w:val="nil"/>
              <w:bottom w:val="single" w:color="auto" w:sz="4" w:space="0"/>
              <w:right w:val="single" w:color="auto" w:sz="4" w:space="0"/>
            </w:tcBorders>
            <w:shd w:val="clear" w:color="auto" w:fill="auto"/>
            <w:noWrap w:val="0"/>
            <w:vAlign w:val="center"/>
          </w:tcPr>
          <w:p w14:paraId="7205CAFA">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583DBD1B">
            <w:pPr>
              <w:widowControl/>
              <w:jc w:val="center"/>
              <w:rPr>
                <w:rFonts w:ascii="Times New Roman" w:hAnsi="Times New Roman"/>
                <w:kern w:val="0"/>
                <w:sz w:val="17"/>
                <w:szCs w:val="17"/>
              </w:rPr>
            </w:pPr>
          </w:p>
        </w:tc>
      </w:tr>
      <w:tr w14:paraId="530795E7">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0EE7455A">
            <w:pPr>
              <w:widowControl/>
              <w:jc w:val="center"/>
              <w:rPr>
                <w:rFonts w:ascii="Times New Roman" w:hAnsi="Times New Roman"/>
                <w:kern w:val="0"/>
                <w:sz w:val="17"/>
                <w:szCs w:val="17"/>
              </w:rPr>
            </w:pPr>
            <w:r>
              <w:rPr>
                <w:rFonts w:ascii="Times New Roman" w:hAnsi="Times New Roman"/>
                <w:kern w:val="0"/>
                <w:sz w:val="17"/>
                <w:szCs w:val="17"/>
              </w:rPr>
              <w:t>6</w:t>
            </w:r>
          </w:p>
        </w:tc>
        <w:tc>
          <w:tcPr>
            <w:tcW w:w="851" w:type="dxa"/>
            <w:tcBorders>
              <w:top w:val="nil"/>
              <w:left w:val="nil"/>
              <w:bottom w:val="single" w:color="auto" w:sz="4" w:space="0"/>
              <w:right w:val="single" w:color="auto" w:sz="4" w:space="0"/>
            </w:tcBorders>
            <w:shd w:val="clear" w:color="auto" w:fill="auto"/>
            <w:noWrap w:val="0"/>
            <w:vAlign w:val="center"/>
          </w:tcPr>
          <w:p w14:paraId="474A7277">
            <w:pPr>
              <w:widowControl/>
              <w:jc w:val="center"/>
              <w:rPr>
                <w:rFonts w:ascii="Times New Roman" w:hAnsi="Times New Roman"/>
                <w:kern w:val="0"/>
                <w:sz w:val="17"/>
                <w:szCs w:val="17"/>
              </w:rPr>
            </w:pPr>
            <w:r>
              <w:rPr>
                <w:rFonts w:ascii="Times New Roman" w:hAnsi="Times New Roman"/>
                <w:kern w:val="0"/>
                <w:sz w:val="17"/>
                <w:szCs w:val="17"/>
              </w:rPr>
              <w:t>遂溪县</w:t>
            </w:r>
          </w:p>
        </w:tc>
        <w:tc>
          <w:tcPr>
            <w:tcW w:w="2835" w:type="dxa"/>
            <w:tcBorders>
              <w:top w:val="nil"/>
              <w:left w:val="nil"/>
              <w:bottom w:val="single" w:color="auto" w:sz="4" w:space="0"/>
              <w:right w:val="single" w:color="auto" w:sz="4" w:space="0"/>
            </w:tcBorders>
            <w:shd w:val="clear" w:color="auto" w:fill="auto"/>
            <w:noWrap w:val="0"/>
            <w:vAlign w:val="center"/>
          </w:tcPr>
          <w:p w14:paraId="47DC6908">
            <w:pPr>
              <w:widowControl/>
              <w:jc w:val="center"/>
              <w:rPr>
                <w:rFonts w:ascii="Times New Roman" w:hAnsi="Times New Roman"/>
                <w:kern w:val="0"/>
                <w:sz w:val="17"/>
                <w:szCs w:val="17"/>
              </w:rPr>
            </w:pPr>
            <w:r>
              <w:rPr>
                <w:rFonts w:ascii="Times New Roman" w:hAnsi="Times New Roman"/>
                <w:kern w:val="0"/>
                <w:sz w:val="17"/>
                <w:szCs w:val="17"/>
              </w:rPr>
              <w:t>恢复遂溪县杨柑中学高中办学项目</w:t>
            </w:r>
          </w:p>
        </w:tc>
        <w:tc>
          <w:tcPr>
            <w:tcW w:w="992" w:type="dxa"/>
            <w:tcBorders>
              <w:top w:val="nil"/>
              <w:left w:val="nil"/>
              <w:bottom w:val="single" w:color="auto" w:sz="4" w:space="0"/>
              <w:right w:val="single" w:color="auto" w:sz="4" w:space="0"/>
            </w:tcBorders>
            <w:shd w:val="clear" w:color="auto" w:fill="auto"/>
            <w:noWrap w:val="0"/>
            <w:vAlign w:val="center"/>
          </w:tcPr>
          <w:p w14:paraId="7FAD6B8C">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20C595A3">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66F80240">
            <w:pPr>
              <w:widowControl/>
              <w:jc w:val="center"/>
              <w:rPr>
                <w:rFonts w:ascii="Times New Roman" w:hAnsi="Times New Roman"/>
                <w:kern w:val="0"/>
                <w:sz w:val="17"/>
                <w:szCs w:val="17"/>
              </w:rPr>
            </w:pPr>
            <w:r>
              <w:rPr>
                <w:rFonts w:ascii="Times New Roman" w:hAnsi="Times New Roman"/>
                <w:kern w:val="0"/>
                <w:sz w:val="17"/>
                <w:szCs w:val="17"/>
              </w:rPr>
              <w:t>7000</w:t>
            </w:r>
          </w:p>
        </w:tc>
        <w:tc>
          <w:tcPr>
            <w:tcW w:w="567" w:type="dxa"/>
            <w:tcBorders>
              <w:top w:val="nil"/>
              <w:left w:val="nil"/>
              <w:bottom w:val="single" w:color="auto" w:sz="4" w:space="0"/>
              <w:right w:val="single" w:color="auto" w:sz="4" w:space="0"/>
            </w:tcBorders>
            <w:shd w:val="clear" w:color="auto" w:fill="auto"/>
            <w:noWrap w:val="0"/>
            <w:vAlign w:val="center"/>
          </w:tcPr>
          <w:p w14:paraId="7992E310">
            <w:pPr>
              <w:widowControl/>
              <w:jc w:val="center"/>
              <w:rPr>
                <w:rFonts w:ascii="Times New Roman" w:hAnsi="Times New Roman"/>
                <w:kern w:val="0"/>
                <w:sz w:val="17"/>
                <w:szCs w:val="17"/>
              </w:rPr>
            </w:pPr>
            <w:r>
              <w:rPr>
                <w:rFonts w:ascii="Times New Roman" w:hAnsi="Times New Roman"/>
                <w:kern w:val="0"/>
                <w:sz w:val="17"/>
                <w:szCs w:val="17"/>
              </w:rPr>
              <w:t>36</w:t>
            </w:r>
          </w:p>
        </w:tc>
        <w:tc>
          <w:tcPr>
            <w:tcW w:w="708" w:type="dxa"/>
            <w:tcBorders>
              <w:top w:val="nil"/>
              <w:left w:val="nil"/>
              <w:bottom w:val="single" w:color="auto" w:sz="4" w:space="0"/>
              <w:right w:val="single" w:color="auto" w:sz="4" w:space="0"/>
            </w:tcBorders>
            <w:shd w:val="clear" w:color="auto" w:fill="auto"/>
            <w:noWrap w:val="0"/>
            <w:vAlign w:val="center"/>
          </w:tcPr>
          <w:p w14:paraId="32857E27">
            <w:pPr>
              <w:widowControl/>
              <w:jc w:val="center"/>
              <w:rPr>
                <w:rFonts w:ascii="Times New Roman" w:hAnsi="Times New Roman"/>
                <w:kern w:val="0"/>
                <w:sz w:val="17"/>
                <w:szCs w:val="17"/>
              </w:rPr>
            </w:pPr>
            <w:r>
              <w:rPr>
                <w:rFonts w:ascii="Times New Roman" w:hAnsi="Times New Roman"/>
                <w:kern w:val="0"/>
                <w:sz w:val="17"/>
                <w:szCs w:val="17"/>
              </w:rPr>
              <w:t>1800</w:t>
            </w:r>
          </w:p>
        </w:tc>
        <w:tc>
          <w:tcPr>
            <w:tcW w:w="567" w:type="dxa"/>
            <w:tcBorders>
              <w:top w:val="nil"/>
              <w:left w:val="nil"/>
              <w:bottom w:val="single" w:color="auto" w:sz="4" w:space="0"/>
              <w:right w:val="single" w:color="auto" w:sz="4" w:space="0"/>
            </w:tcBorders>
            <w:shd w:val="clear" w:color="auto" w:fill="auto"/>
            <w:noWrap w:val="0"/>
            <w:vAlign w:val="center"/>
          </w:tcPr>
          <w:p w14:paraId="2B800F0C">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4E4AC97E">
            <w:pPr>
              <w:widowControl/>
              <w:jc w:val="center"/>
              <w:rPr>
                <w:rFonts w:ascii="Times New Roman" w:hAnsi="Times New Roman"/>
                <w:kern w:val="0"/>
                <w:sz w:val="17"/>
                <w:szCs w:val="17"/>
              </w:rPr>
            </w:pPr>
          </w:p>
        </w:tc>
      </w:tr>
      <w:tr w14:paraId="4B7D8B31">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10B9BC9D">
            <w:pPr>
              <w:widowControl/>
              <w:jc w:val="center"/>
              <w:rPr>
                <w:rFonts w:ascii="Times New Roman" w:hAnsi="Times New Roman"/>
                <w:kern w:val="0"/>
                <w:sz w:val="17"/>
                <w:szCs w:val="17"/>
              </w:rPr>
            </w:pPr>
            <w:r>
              <w:rPr>
                <w:rFonts w:ascii="Times New Roman" w:hAnsi="Times New Roman"/>
                <w:kern w:val="0"/>
                <w:sz w:val="17"/>
                <w:szCs w:val="17"/>
              </w:rPr>
              <w:t>7</w:t>
            </w:r>
          </w:p>
        </w:tc>
        <w:tc>
          <w:tcPr>
            <w:tcW w:w="851" w:type="dxa"/>
            <w:vMerge w:val="restart"/>
            <w:tcBorders>
              <w:top w:val="nil"/>
              <w:left w:val="single" w:color="auto" w:sz="4" w:space="0"/>
              <w:bottom w:val="single" w:color="auto" w:sz="4" w:space="0"/>
              <w:right w:val="single" w:color="auto" w:sz="4" w:space="0"/>
            </w:tcBorders>
            <w:shd w:val="clear" w:color="auto" w:fill="auto"/>
            <w:noWrap w:val="0"/>
            <w:vAlign w:val="center"/>
          </w:tcPr>
          <w:p w14:paraId="7C7ABBBB">
            <w:pPr>
              <w:widowControl/>
              <w:jc w:val="center"/>
              <w:rPr>
                <w:rFonts w:ascii="Times New Roman" w:hAnsi="Times New Roman"/>
                <w:kern w:val="0"/>
                <w:sz w:val="17"/>
                <w:szCs w:val="17"/>
              </w:rPr>
            </w:pPr>
            <w:r>
              <w:rPr>
                <w:rFonts w:ascii="Times New Roman" w:hAnsi="Times New Roman"/>
                <w:kern w:val="0"/>
                <w:sz w:val="17"/>
                <w:szCs w:val="17"/>
              </w:rPr>
              <w:t>市直属</w:t>
            </w: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71C6F8FE">
            <w:pPr>
              <w:widowControl/>
              <w:jc w:val="center"/>
              <w:rPr>
                <w:rFonts w:ascii="Times New Roman" w:hAnsi="Times New Roman"/>
                <w:kern w:val="0"/>
                <w:sz w:val="17"/>
                <w:szCs w:val="17"/>
              </w:rPr>
            </w:pPr>
            <w:r>
              <w:rPr>
                <w:rFonts w:ascii="Times New Roman" w:hAnsi="Times New Roman"/>
                <w:kern w:val="0"/>
                <w:sz w:val="17"/>
                <w:szCs w:val="17"/>
              </w:rPr>
              <w:t>广东实验中学湛江学校</w:t>
            </w:r>
          </w:p>
        </w:tc>
        <w:tc>
          <w:tcPr>
            <w:tcW w:w="992" w:type="dxa"/>
            <w:tcBorders>
              <w:top w:val="nil"/>
              <w:left w:val="nil"/>
              <w:bottom w:val="single" w:color="auto" w:sz="4" w:space="0"/>
              <w:right w:val="single" w:color="auto" w:sz="4" w:space="0"/>
            </w:tcBorders>
            <w:shd w:val="clear" w:color="auto" w:fill="auto"/>
            <w:noWrap w:val="0"/>
            <w:vAlign w:val="center"/>
          </w:tcPr>
          <w:p w14:paraId="1F86FDC0">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231A2E80">
            <w:pPr>
              <w:widowControl/>
              <w:jc w:val="center"/>
              <w:rPr>
                <w:rFonts w:ascii="Times New Roman" w:hAnsi="Times New Roman"/>
                <w:kern w:val="0"/>
                <w:sz w:val="17"/>
                <w:szCs w:val="17"/>
              </w:rPr>
            </w:pPr>
            <w:r>
              <w:rPr>
                <w:rFonts w:ascii="Times New Roman" w:hAnsi="Times New Roman"/>
                <w:kern w:val="0"/>
                <w:sz w:val="17"/>
                <w:szCs w:val="17"/>
              </w:rPr>
              <w:t>新建</w:t>
            </w:r>
          </w:p>
        </w:tc>
        <w:tc>
          <w:tcPr>
            <w:tcW w:w="993" w:type="dxa"/>
            <w:tcBorders>
              <w:top w:val="nil"/>
              <w:left w:val="nil"/>
              <w:bottom w:val="single" w:color="auto" w:sz="4" w:space="0"/>
              <w:right w:val="single" w:color="auto" w:sz="4" w:space="0"/>
            </w:tcBorders>
            <w:shd w:val="clear" w:color="auto" w:fill="auto"/>
            <w:noWrap w:val="0"/>
            <w:vAlign w:val="center"/>
          </w:tcPr>
          <w:p w14:paraId="542ABDDF">
            <w:pPr>
              <w:widowControl/>
              <w:jc w:val="center"/>
              <w:rPr>
                <w:rFonts w:ascii="Times New Roman" w:hAnsi="Times New Roman"/>
                <w:kern w:val="0"/>
                <w:sz w:val="17"/>
                <w:szCs w:val="17"/>
              </w:rPr>
            </w:pPr>
            <w:r>
              <w:rPr>
                <w:rFonts w:ascii="Times New Roman" w:hAnsi="Times New Roman"/>
                <w:kern w:val="0"/>
                <w:sz w:val="17"/>
                <w:szCs w:val="17"/>
              </w:rPr>
              <w:t>86300</w:t>
            </w:r>
          </w:p>
        </w:tc>
        <w:tc>
          <w:tcPr>
            <w:tcW w:w="567" w:type="dxa"/>
            <w:tcBorders>
              <w:top w:val="nil"/>
              <w:left w:val="nil"/>
              <w:bottom w:val="single" w:color="auto" w:sz="4" w:space="0"/>
              <w:right w:val="single" w:color="auto" w:sz="4" w:space="0"/>
            </w:tcBorders>
            <w:shd w:val="clear" w:color="auto" w:fill="auto"/>
            <w:noWrap w:val="0"/>
            <w:vAlign w:val="center"/>
          </w:tcPr>
          <w:p w14:paraId="0FA9663A">
            <w:pPr>
              <w:widowControl/>
              <w:jc w:val="center"/>
              <w:rPr>
                <w:rFonts w:ascii="Times New Roman" w:hAnsi="Times New Roman"/>
                <w:kern w:val="0"/>
                <w:sz w:val="17"/>
                <w:szCs w:val="17"/>
              </w:rPr>
            </w:pPr>
            <w:r>
              <w:rPr>
                <w:rFonts w:ascii="Times New Roman" w:hAnsi="Times New Roman"/>
                <w:kern w:val="0"/>
                <w:sz w:val="17"/>
                <w:szCs w:val="17"/>
              </w:rPr>
              <w:t>81</w:t>
            </w:r>
          </w:p>
        </w:tc>
        <w:tc>
          <w:tcPr>
            <w:tcW w:w="708" w:type="dxa"/>
            <w:tcBorders>
              <w:top w:val="nil"/>
              <w:left w:val="nil"/>
              <w:bottom w:val="single" w:color="auto" w:sz="4" w:space="0"/>
              <w:right w:val="single" w:color="auto" w:sz="4" w:space="0"/>
            </w:tcBorders>
            <w:shd w:val="clear" w:color="auto" w:fill="auto"/>
            <w:noWrap w:val="0"/>
            <w:vAlign w:val="center"/>
          </w:tcPr>
          <w:p w14:paraId="3BF43ABE">
            <w:pPr>
              <w:widowControl/>
              <w:jc w:val="center"/>
              <w:rPr>
                <w:rFonts w:ascii="Times New Roman" w:hAnsi="Times New Roman"/>
                <w:kern w:val="0"/>
                <w:sz w:val="17"/>
                <w:szCs w:val="17"/>
              </w:rPr>
            </w:pPr>
            <w:r>
              <w:rPr>
                <w:rFonts w:ascii="Times New Roman" w:hAnsi="Times New Roman"/>
                <w:kern w:val="0"/>
                <w:sz w:val="17"/>
                <w:szCs w:val="17"/>
              </w:rPr>
              <w:t>4050</w:t>
            </w:r>
          </w:p>
        </w:tc>
        <w:tc>
          <w:tcPr>
            <w:tcW w:w="567" w:type="dxa"/>
            <w:tcBorders>
              <w:top w:val="nil"/>
              <w:left w:val="nil"/>
              <w:bottom w:val="single" w:color="auto" w:sz="4" w:space="0"/>
              <w:right w:val="single" w:color="auto" w:sz="4" w:space="0"/>
            </w:tcBorders>
            <w:shd w:val="clear" w:color="auto" w:fill="auto"/>
            <w:noWrap w:val="0"/>
            <w:vAlign w:val="center"/>
          </w:tcPr>
          <w:p w14:paraId="19D1C4DC">
            <w:pPr>
              <w:widowControl/>
              <w:jc w:val="center"/>
              <w:rPr>
                <w:rFonts w:ascii="Times New Roman" w:hAnsi="Times New Roman"/>
                <w:kern w:val="0"/>
                <w:sz w:val="17"/>
                <w:szCs w:val="17"/>
              </w:rPr>
            </w:pPr>
            <w:r>
              <w:rPr>
                <w:rFonts w:ascii="Times New Roman" w:hAnsi="Times New Roman"/>
                <w:kern w:val="0"/>
                <w:sz w:val="17"/>
                <w:szCs w:val="17"/>
              </w:rPr>
              <w:t>202</w:t>
            </w:r>
            <w:r>
              <w:rPr>
                <w:rFonts w:hint="eastAsia"/>
                <w:kern w:val="0"/>
                <w:sz w:val="17"/>
                <w:szCs w:val="17"/>
              </w:rPr>
              <w:t>5</w:t>
            </w:r>
          </w:p>
        </w:tc>
        <w:tc>
          <w:tcPr>
            <w:tcW w:w="993" w:type="dxa"/>
            <w:tcBorders>
              <w:top w:val="nil"/>
              <w:left w:val="nil"/>
              <w:bottom w:val="single" w:color="auto" w:sz="4" w:space="0"/>
              <w:right w:val="single" w:color="auto" w:sz="4" w:space="0"/>
            </w:tcBorders>
            <w:noWrap w:val="0"/>
            <w:vAlign w:val="center"/>
          </w:tcPr>
          <w:p w14:paraId="08AEEBD4">
            <w:pPr>
              <w:widowControl/>
              <w:jc w:val="center"/>
              <w:rPr>
                <w:rFonts w:ascii="Times New Roman" w:hAnsi="Times New Roman"/>
                <w:kern w:val="0"/>
                <w:sz w:val="17"/>
                <w:szCs w:val="17"/>
              </w:rPr>
            </w:pPr>
          </w:p>
        </w:tc>
      </w:tr>
      <w:tr w14:paraId="09DB75F6">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6595DD1B">
            <w:pPr>
              <w:widowControl/>
              <w:jc w:val="center"/>
              <w:rPr>
                <w:rFonts w:ascii="Times New Roman" w:hAnsi="Times New Roman"/>
                <w:kern w:val="0"/>
                <w:sz w:val="17"/>
                <w:szCs w:val="17"/>
              </w:rPr>
            </w:pPr>
            <w:r>
              <w:rPr>
                <w:rFonts w:ascii="Times New Roman" w:hAnsi="Times New Roman"/>
                <w:kern w:val="0"/>
                <w:sz w:val="17"/>
                <w:szCs w:val="17"/>
              </w:rPr>
              <w:t>8</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44A083">
            <w:pPr>
              <w:widowControl/>
              <w:jc w:val="center"/>
              <w:rPr>
                <w:rFonts w:ascii="Times New Roman" w:hAnsi="Times New Roman"/>
                <w:kern w:val="0"/>
                <w:sz w:val="17"/>
                <w:szCs w:val="17"/>
              </w:rPr>
            </w:pP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55854740">
            <w:pPr>
              <w:widowControl/>
              <w:jc w:val="center"/>
              <w:rPr>
                <w:rFonts w:ascii="Times New Roman" w:hAnsi="Times New Roman"/>
                <w:kern w:val="0"/>
                <w:sz w:val="17"/>
                <w:szCs w:val="17"/>
              </w:rPr>
            </w:pPr>
            <w:r>
              <w:rPr>
                <w:rFonts w:ascii="Times New Roman" w:hAnsi="Times New Roman"/>
                <w:kern w:val="0"/>
                <w:sz w:val="17"/>
                <w:szCs w:val="17"/>
              </w:rPr>
              <w:t>湛江第一中学新校区</w:t>
            </w:r>
          </w:p>
        </w:tc>
        <w:tc>
          <w:tcPr>
            <w:tcW w:w="992" w:type="dxa"/>
            <w:tcBorders>
              <w:top w:val="nil"/>
              <w:left w:val="nil"/>
              <w:bottom w:val="single" w:color="auto" w:sz="4" w:space="0"/>
              <w:right w:val="single" w:color="auto" w:sz="4" w:space="0"/>
            </w:tcBorders>
            <w:shd w:val="clear" w:color="auto" w:fill="auto"/>
            <w:noWrap w:val="0"/>
            <w:vAlign w:val="center"/>
          </w:tcPr>
          <w:p w14:paraId="50853068">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211455B6">
            <w:pPr>
              <w:widowControl/>
              <w:jc w:val="center"/>
              <w:rPr>
                <w:rFonts w:ascii="Times New Roman" w:hAnsi="Times New Roman"/>
                <w:kern w:val="0"/>
                <w:sz w:val="17"/>
                <w:szCs w:val="17"/>
              </w:rPr>
            </w:pPr>
            <w:r>
              <w:rPr>
                <w:rFonts w:ascii="Times New Roman" w:hAnsi="Times New Roman"/>
                <w:kern w:val="0"/>
                <w:sz w:val="17"/>
                <w:szCs w:val="17"/>
              </w:rPr>
              <w:t>新建</w:t>
            </w:r>
          </w:p>
        </w:tc>
        <w:tc>
          <w:tcPr>
            <w:tcW w:w="993" w:type="dxa"/>
            <w:tcBorders>
              <w:top w:val="nil"/>
              <w:left w:val="nil"/>
              <w:bottom w:val="single" w:color="auto" w:sz="4" w:space="0"/>
              <w:right w:val="single" w:color="auto" w:sz="4" w:space="0"/>
            </w:tcBorders>
            <w:shd w:val="clear" w:color="auto" w:fill="auto"/>
            <w:noWrap w:val="0"/>
            <w:vAlign w:val="center"/>
          </w:tcPr>
          <w:p w14:paraId="5DDE8803">
            <w:pPr>
              <w:widowControl/>
              <w:jc w:val="center"/>
              <w:rPr>
                <w:rFonts w:ascii="Times New Roman" w:hAnsi="Times New Roman"/>
                <w:kern w:val="0"/>
                <w:sz w:val="17"/>
                <w:szCs w:val="17"/>
              </w:rPr>
            </w:pPr>
            <w:r>
              <w:rPr>
                <w:rFonts w:ascii="Times New Roman" w:hAnsi="Times New Roman"/>
                <w:kern w:val="0"/>
                <w:sz w:val="17"/>
                <w:szCs w:val="17"/>
              </w:rPr>
              <w:t>81570</w:t>
            </w:r>
          </w:p>
        </w:tc>
        <w:tc>
          <w:tcPr>
            <w:tcW w:w="567" w:type="dxa"/>
            <w:tcBorders>
              <w:top w:val="nil"/>
              <w:left w:val="nil"/>
              <w:bottom w:val="single" w:color="auto" w:sz="4" w:space="0"/>
              <w:right w:val="single" w:color="auto" w:sz="4" w:space="0"/>
            </w:tcBorders>
            <w:shd w:val="clear" w:color="auto" w:fill="auto"/>
            <w:noWrap w:val="0"/>
            <w:vAlign w:val="center"/>
          </w:tcPr>
          <w:p w14:paraId="457043FE">
            <w:pPr>
              <w:widowControl/>
              <w:jc w:val="center"/>
              <w:rPr>
                <w:rFonts w:ascii="Times New Roman" w:hAnsi="Times New Roman"/>
                <w:kern w:val="0"/>
                <w:sz w:val="17"/>
                <w:szCs w:val="17"/>
              </w:rPr>
            </w:pPr>
            <w:r>
              <w:rPr>
                <w:rFonts w:ascii="Times New Roman" w:hAnsi="Times New Roman"/>
                <w:kern w:val="0"/>
                <w:sz w:val="17"/>
                <w:szCs w:val="17"/>
              </w:rPr>
              <w:t>90</w:t>
            </w:r>
          </w:p>
        </w:tc>
        <w:tc>
          <w:tcPr>
            <w:tcW w:w="708" w:type="dxa"/>
            <w:tcBorders>
              <w:top w:val="nil"/>
              <w:left w:val="nil"/>
              <w:bottom w:val="single" w:color="auto" w:sz="4" w:space="0"/>
              <w:right w:val="single" w:color="auto" w:sz="4" w:space="0"/>
            </w:tcBorders>
            <w:shd w:val="clear" w:color="auto" w:fill="auto"/>
            <w:noWrap w:val="0"/>
            <w:vAlign w:val="center"/>
          </w:tcPr>
          <w:p w14:paraId="3FAFD323">
            <w:pPr>
              <w:widowControl/>
              <w:jc w:val="center"/>
              <w:rPr>
                <w:rFonts w:ascii="Times New Roman" w:hAnsi="Times New Roman"/>
                <w:kern w:val="0"/>
                <w:sz w:val="17"/>
                <w:szCs w:val="17"/>
              </w:rPr>
            </w:pPr>
            <w:r>
              <w:rPr>
                <w:rFonts w:ascii="Times New Roman" w:hAnsi="Times New Roman"/>
                <w:kern w:val="0"/>
                <w:sz w:val="17"/>
                <w:szCs w:val="17"/>
              </w:rPr>
              <w:t>4500</w:t>
            </w:r>
          </w:p>
        </w:tc>
        <w:tc>
          <w:tcPr>
            <w:tcW w:w="567" w:type="dxa"/>
            <w:tcBorders>
              <w:top w:val="nil"/>
              <w:left w:val="nil"/>
              <w:bottom w:val="single" w:color="auto" w:sz="4" w:space="0"/>
              <w:right w:val="single" w:color="auto" w:sz="4" w:space="0"/>
            </w:tcBorders>
            <w:shd w:val="clear" w:color="auto" w:fill="auto"/>
            <w:noWrap w:val="0"/>
            <w:vAlign w:val="center"/>
          </w:tcPr>
          <w:p w14:paraId="2600EC00">
            <w:pPr>
              <w:widowControl/>
              <w:jc w:val="center"/>
              <w:rPr>
                <w:rFonts w:ascii="Times New Roman" w:hAnsi="Times New Roman"/>
                <w:kern w:val="0"/>
                <w:sz w:val="17"/>
                <w:szCs w:val="17"/>
              </w:rPr>
            </w:pPr>
            <w:r>
              <w:rPr>
                <w:rFonts w:ascii="Times New Roman" w:hAnsi="Times New Roman"/>
                <w:kern w:val="0"/>
                <w:sz w:val="17"/>
                <w:szCs w:val="17"/>
              </w:rPr>
              <w:t>202</w:t>
            </w:r>
            <w:r>
              <w:rPr>
                <w:rFonts w:hint="eastAsia"/>
                <w:kern w:val="0"/>
                <w:sz w:val="17"/>
                <w:szCs w:val="17"/>
              </w:rPr>
              <w:t>5</w:t>
            </w:r>
          </w:p>
        </w:tc>
        <w:tc>
          <w:tcPr>
            <w:tcW w:w="993" w:type="dxa"/>
            <w:tcBorders>
              <w:top w:val="nil"/>
              <w:left w:val="nil"/>
              <w:bottom w:val="single" w:color="auto" w:sz="4" w:space="0"/>
              <w:right w:val="single" w:color="auto" w:sz="4" w:space="0"/>
            </w:tcBorders>
            <w:noWrap w:val="0"/>
            <w:vAlign w:val="center"/>
          </w:tcPr>
          <w:p w14:paraId="1BC04CF0">
            <w:pPr>
              <w:widowControl/>
              <w:jc w:val="center"/>
              <w:rPr>
                <w:rFonts w:ascii="Times New Roman" w:hAnsi="Times New Roman"/>
                <w:kern w:val="0"/>
                <w:sz w:val="17"/>
                <w:szCs w:val="17"/>
              </w:rPr>
            </w:pPr>
          </w:p>
        </w:tc>
      </w:tr>
      <w:tr w14:paraId="2D99C29B">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54056151">
            <w:pPr>
              <w:widowControl/>
              <w:jc w:val="center"/>
              <w:rPr>
                <w:rFonts w:ascii="Times New Roman" w:hAnsi="Times New Roman"/>
                <w:kern w:val="0"/>
                <w:sz w:val="17"/>
                <w:szCs w:val="17"/>
              </w:rPr>
            </w:pPr>
            <w:r>
              <w:rPr>
                <w:rFonts w:ascii="Times New Roman" w:hAnsi="Times New Roman"/>
                <w:kern w:val="0"/>
                <w:sz w:val="17"/>
                <w:szCs w:val="17"/>
              </w:rPr>
              <w:t>9</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114072C">
            <w:pPr>
              <w:widowControl/>
              <w:jc w:val="center"/>
              <w:rPr>
                <w:rFonts w:ascii="Times New Roman" w:hAnsi="Times New Roman"/>
                <w:kern w:val="0"/>
                <w:sz w:val="17"/>
                <w:szCs w:val="17"/>
              </w:rPr>
            </w:pP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3CE74667">
            <w:pPr>
              <w:widowControl/>
              <w:jc w:val="center"/>
              <w:rPr>
                <w:rFonts w:ascii="Times New Roman" w:hAnsi="Times New Roman"/>
                <w:kern w:val="0"/>
                <w:sz w:val="17"/>
                <w:szCs w:val="17"/>
              </w:rPr>
            </w:pPr>
            <w:r>
              <w:rPr>
                <w:rFonts w:ascii="Times New Roman" w:hAnsi="Times New Roman"/>
                <w:kern w:val="0"/>
                <w:sz w:val="17"/>
                <w:szCs w:val="17"/>
              </w:rPr>
              <w:t>湛江市二中海东中学改扩建</w:t>
            </w:r>
          </w:p>
        </w:tc>
        <w:tc>
          <w:tcPr>
            <w:tcW w:w="992" w:type="dxa"/>
            <w:tcBorders>
              <w:top w:val="nil"/>
              <w:left w:val="nil"/>
              <w:bottom w:val="single" w:color="auto" w:sz="4" w:space="0"/>
              <w:right w:val="single" w:color="auto" w:sz="4" w:space="0"/>
            </w:tcBorders>
            <w:shd w:val="clear" w:color="auto" w:fill="auto"/>
            <w:noWrap w:val="0"/>
            <w:vAlign w:val="center"/>
          </w:tcPr>
          <w:p w14:paraId="1B78D532">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180C2527">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55F3A119">
            <w:pPr>
              <w:widowControl/>
              <w:jc w:val="center"/>
              <w:rPr>
                <w:rFonts w:ascii="Times New Roman" w:hAnsi="Times New Roman"/>
                <w:kern w:val="0"/>
                <w:sz w:val="17"/>
                <w:szCs w:val="17"/>
              </w:rPr>
            </w:pPr>
            <w:r>
              <w:rPr>
                <w:rFonts w:ascii="Times New Roman" w:hAnsi="Times New Roman"/>
                <w:kern w:val="0"/>
                <w:sz w:val="17"/>
                <w:szCs w:val="17"/>
              </w:rPr>
              <w:t>32532</w:t>
            </w:r>
          </w:p>
        </w:tc>
        <w:tc>
          <w:tcPr>
            <w:tcW w:w="567" w:type="dxa"/>
            <w:tcBorders>
              <w:top w:val="nil"/>
              <w:left w:val="nil"/>
              <w:bottom w:val="single" w:color="auto" w:sz="4" w:space="0"/>
              <w:right w:val="single" w:color="auto" w:sz="4" w:space="0"/>
            </w:tcBorders>
            <w:shd w:val="clear" w:color="auto" w:fill="auto"/>
            <w:noWrap w:val="0"/>
            <w:vAlign w:val="center"/>
          </w:tcPr>
          <w:p w14:paraId="15E6E4B1">
            <w:pPr>
              <w:widowControl/>
              <w:jc w:val="center"/>
              <w:rPr>
                <w:rFonts w:ascii="Times New Roman" w:hAnsi="Times New Roman"/>
                <w:kern w:val="0"/>
                <w:sz w:val="17"/>
                <w:szCs w:val="17"/>
              </w:rPr>
            </w:pPr>
            <w:r>
              <w:rPr>
                <w:rFonts w:ascii="Times New Roman" w:hAnsi="Times New Roman"/>
                <w:kern w:val="0"/>
                <w:sz w:val="17"/>
                <w:szCs w:val="17"/>
              </w:rPr>
              <w:t>18</w:t>
            </w:r>
          </w:p>
        </w:tc>
        <w:tc>
          <w:tcPr>
            <w:tcW w:w="708" w:type="dxa"/>
            <w:tcBorders>
              <w:top w:val="nil"/>
              <w:left w:val="nil"/>
              <w:bottom w:val="single" w:color="auto" w:sz="4" w:space="0"/>
              <w:right w:val="single" w:color="auto" w:sz="4" w:space="0"/>
            </w:tcBorders>
            <w:shd w:val="clear" w:color="auto" w:fill="auto"/>
            <w:noWrap w:val="0"/>
            <w:vAlign w:val="center"/>
          </w:tcPr>
          <w:p w14:paraId="01F18611">
            <w:pPr>
              <w:widowControl/>
              <w:jc w:val="center"/>
              <w:rPr>
                <w:rFonts w:ascii="Times New Roman" w:hAnsi="Times New Roman"/>
                <w:kern w:val="0"/>
                <w:sz w:val="17"/>
                <w:szCs w:val="17"/>
              </w:rPr>
            </w:pPr>
            <w:r>
              <w:rPr>
                <w:rFonts w:ascii="Times New Roman" w:hAnsi="Times New Roman"/>
                <w:kern w:val="0"/>
                <w:sz w:val="17"/>
                <w:szCs w:val="17"/>
              </w:rPr>
              <w:t>900</w:t>
            </w:r>
          </w:p>
        </w:tc>
        <w:tc>
          <w:tcPr>
            <w:tcW w:w="567" w:type="dxa"/>
            <w:tcBorders>
              <w:top w:val="nil"/>
              <w:left w:val="nil"/>
              <w:bottom w:val="single" w:color="auto" w:sz="4" w:space="0"/>
              <w:right w:val="single" w:color="auto" w:sz="4" w:space="0"/>
            </w:tcBorders>
            <w:shd w:val="clear" w:color="auto" w:fill="auto"/>
            <w:noWrap w:val="0"/>
            <w:vAlign w:val="center"/>
          </w:tcPr>
          <w:p w14:paraId="3ACBDEED">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65F7FA70">
            <w:pPr>
              <w:widowControl/>
              <w:jc w:val="center"/>
              <w:rPr>
                <w:rFonts w:ascii="Times New Roman" w:hAnsi="Times New Roman"/>
                <w:kern w:val="0"/>
                <w:sz w:val="17"/>
                <w:szCs w:val="17"/>
              </w:rPr>
            </w:pPr>
          </w:p>
        </w:tc>
      </w:tr>
      <w:tr w14:paraId="4B48B90E">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60CC4EED">
            <w:pPr>
              <w:widowControl/>
              <w:jc w:val="center"/>
              <w:rPr>
                <w:rFonts w:ascii="Times New Roman" w:hAnsi="Times New Roman"/>
                <w:kern w:val="0"/>
                <w:sz w:val="17"/>
                <w:szCs w:val="17"/>
              </w:rPr>
            </w:pPr>
            <w:r>
              <w:rPr>
                <w:rFonts w:ascii="Times New Roman" w:hAnsi="Times New Roman"/>
                <w:kern w:val="0"/>
                <w:sz w:val="17"/>
                <w:szCs w:val="17"/>
              </w:rPr>
              <w:t>10</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8F4C1F">
            <w:pPr>
              <w:widowControl/>
              <w:jc w:val="center"/>
              <w:rPr>
                <w:rFonts w:ascii="Times New Roman" w:hAnsi="Times New Roman"/>
                <w:kern w:val="0"/>
                <w:sz w:val="17"/>
                <w:szCs w:val="17"/>
              </w:rPr>
            </w:pP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4891DB79">
            <w:pPr>
              <w:widowControl/>
              <w:jc w:val="center"/>
              <w:rPr>
                <w:rFonts w:ascii="Times New Roman" w:hAnsi="Times New Roman"/>
                <w:kern w:val="0"/>
                <w:sz w:val="17"/>
                <w:szCs w:val="17"/>
              </w:rPr>
            </w:pPr>
            <w:r>
              <w:rPr>
                <w:rFonts w:ascii="Times New Roman" w:hAnsi="Times New Roman"/>
                <w:kern w:val="0"/>
                <w:sz w:val="17"/>
                <w:szCs w:val="17"/>
              </w:rPr>
              <w:t>湛江市实验中学新建综合教学楼</w:t>
            </w:r>
          </w:p>
        </w:tc>
        <w:tc>
          <w:tcPr>
            <w:tcW w:w="992" w:type="dxa"/>
            <w:tcBorders>
              <w:top w:val="nil"/>
              <w:left w:val="nil"/>
              <w:bottom w:val="single" w:color="auto" w:sz="4" w:space="0"/>
              <w:right w:val="single" w:color="auto" w:sz="4" w:space="0"/>
            </w:tcBorders>
            <w:shd w:val="clear" w:color="auto" w:fill="auto"/>
            <w:noWrap w:val="0"/>
            <w:vAlign w:val="center"/>
          </w:tcPr>
          <w:p w14:paraId="21B69C7F">
            <w:pPr>
              <w:widowControl/>
              <w:jc w:val="center"/>
              <w:rPr>
                <w:rFonts w:ascii="Times New Roman" w:hAnsi="Times New Roman"/>
                <w:kern w:val="0"/>
                <w:sz w:val="17"/>
                <w:szCs w:val="17"/>
              </w:rPr>
            </w:pPr>
            <w:r>
              <w:rPr>
                <w:rFonts w:ascii="Times New Roman" w:hAnsi="Times New Roman"/>
                <w:kern w:val="0"/>
                <w:sz w:val="17"/>
                <w:szCs w:val="17"/>
              </w:rPr>
              <w:t>高级中学</w:t>
            </w:r>
          </w:p>
        </w:tc>
        <w:tc>
          <w:tcPr>
            <w:tcW w:w="850" w:type="dxa"/>
            <w:tcBorders>
              <w:top w:val="nil"/>
              <w:left w:val="nil"/>
              <w:bottom w:val="single" w:color="auto" w:sz="4" w:space="0"/>
              <w:right w:val="single" w:color="auto" w:sz="4" w:space="0"/>
            </w:tcBorders>
            <w:shd w:val="clear" w:color="auto" w:fill="auto"/>
            <w:noWrap w:val="0"/>
            <w:vAlign w:val="center"/>
          </w:tcPr>
          <w:p w14:paraId="18222557">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22C0F225">
            <w:pPr>
              <w:widowControl/>
              <w:jc w:val="center"/>
              <w:rPr>
                <w:rFonts w:ascii="Times New Roman" w:hAnsi="Times New Roman"/>
                <w:kern w:val="0"/>
                <w:sz w:val="17"/>
                <w:szCs w:val="17"/>
              </w:rPr>
            </w:pPr>
            <w:r>
              <w:rPr>
                <w:rFonts w:ascii="Times New Roman" w:hAnsi="Times New Roman"/>
                <w:kern w:val="0"/>
                <w:sz w:val="17"/>
                <w:szCs w:val="17"/>
              </w:rPr>
              <w:t>2800</w:t>
            </w:r>
          </w:p>
        </w:tc>
        <w:tc>
          <w:tcPr>
            <w:tcW w:w="567" w:type="dxa"/>
            <w:tcBorders>
              <w:top w:val="nil"/>
              <w:left w:val="nil"/>
              <w:bottom w:val="single" w:color="auto" w:sz="4" w:space="0"/>
              <w:right w:val="single" w:color="auto" w:sz="4" w:space="0"/>
            </w:tcBorders>
            <w:shd w:val="clear" w:color="auto" w:fill="auto"/>
            <w:noWrap w:val="0"/>
            <w:vAlign w:val="center"/>
          </w:tcPr>
          <w:p w14:paraId="268B0A09">
            <w:pPr>
              <w:widowControl/>
              <w:jc w:val="center"/>
              <w:rPr>
                <w:rFonts w:ascii="Times New Roman" w:hAnsi="Times New Roman"/>
                <w:kern w:val="0"/>
                <w:sz w:val="17"/>
                <w:szCs w:val="17"/>
              </w:rPr>
            </w:pPr>
            <w:r>
              <w:rPr>
                <w:rFonts w:ascii="Times New Roman" w:hAnsi="Times New Roman"/>
                <w:kern w:val="0"/>
                <w:sz w:val="17"/>
                <w:szCs w:val="17"/>
              </w:rPr>
              <w:t>7</w:t>
            </w:r>
          </w:p>
        </w:tc>
        <w:tc>
          <w:tcPr>
            <w:tcW w:w="708" w:type="dxa"/>
            <w:tcBorders>
              <w:top w:val="nil"/>
              <w:left w:val="nil"/>
              <w:bottom w:val="single" w:color="auto" w:sz="4" w:space="0"/>
              <w:right w:val="single" w:color="auto" w:sz="4" w:space="0"/>
            </w:tcBorders>
            <w:shd w:val="clear" w:color="auto" w:fill="auto"/>
            <w:noWrap w:val="0"/>
            <w:vAlign w:val="center"/>
          </w:tcPr>
          <w:p w14:paraId="3F61D564">
            <w:pPr>
              <w:widowControl/>
              <w:jc w:val="center"/>
              <w:rPr>
                <w:rFonts w:ascii="Times New Roman" w:hAnsi="Times New Roman"/>
                <w:kern w:val="0"/>
                <w:sz w:val="17"/>
                <w:szCs w:val="17"/>
              </w:rPr>
            </w:pPr>
            <w:r>
              <w:rPr>
                <w:rFonts w:ascii="Times New Roman" w:hAnsi="Times New Roman"/>
                <w:kern w:val="0"/>
                <w:sz w:val="17"/>
                <w:szCs w:val="17"/>
              </w:rPr>
              <w:t>360</w:t>
            </w:r>
          </w:p>
        </w:tc>
        <w:tc>
          <w:tcPr>
            <w:tcW w:w="567" w:type="dxa"/>
            <w:tcBorders>
              <w:top w:val="nil"/>
              <w:left w:val="nil"/>
              <w:bottom w:val="single" w:color="auto" w:sz="4" w:space="0"/>
              <w:right w:val="single" w:color="auto" w:sz="4" w:space="0"/>
            </w:tcBorders>
            <w:shd w:val="clear" w:color="auto" w:fill="auto"/>
            <w:noWrap w:val="0"/>
            <w:vAlign w:val="center"/>
          </w:tcPr>
          <w:p w14:paraId="07027097">
            <w:pPr>
              <w:widowControl/>
              <w:jc w:val="center"/>
              <w:rPr>
                <w:rFonts w:ascii="Times New Roman" w:hAnsi="Times New Roman"/>
                <w:kern w:val="0"/>
                <w:sz w:val="17"/>
                <w:szCs w:val="17"/>
              </w:rPr>
            </w:pPr>
            <w:r>
              <w:rPr>
                <w:rFonts w:ascii="Times New Roman" w:hAnsi="Times New Roman"/>
                <w:kern w:val="0"/>
                <w:sz w:val="17"/>
                <w:szCs w:val="17"/>
              </w:rPr>
              <w:t>202</w:t>
            </w:r>
            <w:r>
              <w:rPr>
                <w:rFonts w:hint="eastAsia"/>
                <w:kern w:val="0"/>
                <w:sz w:val="17"/>
                <w:szCs w:val="17"/>
              </w:rPr>
              <w:t>5</w:t>
            </w:r>
          </w:p>
        </w:tc>
        <w:tc>
          <w:tcPr>
            <w:tcW w:w="993" w:type="dxa"/>
            <w:tcBorders>
              <w:top w:val="nil"/>
              <w:left w:val="nil"/>
              <w:bottom w:val="single" w:color="auto" w:sz="4" w:space="0"/>
              <w:right w:val="single" w:color="auto" w:sz="4" w:space="0"/>
            </w:tcBorders>
            <w:noWrap w:val="0"/>
            <w:vAlign w:val="center"/>
          </w:tcPr>
          <w:p w14:paraId="404AB34D">
            <w:pPr>
              <w:widowControl/>
              <w:jc w:val="center"/>
              <w:rPr>
                <w:rFonts w:ascii="Times New Roman" w:hAnsi="Times New Roman"/>
                <w:kern w:val="0"/>
                <w:sz w:val="17"/>
                <w:szCs w:val="17"/>
              </w:rPr>
            </w:pPr>
          </w:p>
        </w:tc>
      </w:tr>
      <w:tr w14:paraId="0557F0D6">
        <w:tblPrEx>
          <w:tblCellMar>
            <w:top w:w="0" w:type="dxa"/>
            <w:left w:w="108" w:type="dxa"/>
            <w:bottom w:w="0" w:type="dxa"/>
            <w:right w:w="108" w:type="dxa"/>
          </w:tblCellMar>
        </w:tblPrEx>
        <w:trPr>
          <w:trHeight w:val="863" w:hRule="exact"/>
        </w:trPr>
        <w:tc>
          <w:tcPr>
            <w:tcW w:w="4112" w:type="dxa"/>
            <w:gridSpan w:val="3"/>
            <w:tcBorders>
              <w:top w:val="nil"/>
              <w:left w:val="single" w:color="auto" w:sz="4" w:space="0"/>
              <w:bottom w:val="single" w:color="auto" w:sz="4" w:space="0"/>
              <w:right w:val="single" w:color="auto" w:sz="4" w:space="0"/>
            </w:tcBorders>
            <w:shd w:val="clear" w:color="auto" w:fill="auto"/>
            <w:noWrap w:val="0"/>
            <w:vAlign w:val="center"/>
          </w:tcPr>
          <w:p w14:paraId="2645FC9C">
            <w:pPr>
              <w:widowControl/>
              <w:jc w:val="center"/>
              <w:rPr>
                <w:b/>
                <w:kern w:val="0"/>
                <w:sz w:val="17"/>
                <w:szCs w:val="17"/>
              </w:rPr>
            </w:pPr>
            <w:r>
              <w:rPr>
                <w:b/>
                <w:kern w:val="0"/>
                <w:sz w:val="17"/>
                <w:szCs w:val="17"/>
              </w:rPr>
              <w:t>汇总</w:t>
            </w:r>
          </w:p>
        </w:tc>
        <w:tc>
          <w:tcPr>
            <w:tcW w:w="992" w:type="dxa"/>
            <w:tcBorders>
              <w:top w:val="nil"/>
              <w:left w:val="nil"/>
              <w:bottom w:val="single" w:color="auto" w:sz="4" w:space="0"/>
              <w:right w:val="single" w:color="auto" w:sz="4" w:space="0"/>
            </w:tcBorders>
            <w:shd w:val="clear" w:color="auto" w:fill="auto"/>
            <w:noWrap w:val="0"/>
            <w:vAlign w:val="center"/>
          </w:tcPr>
          <w:p w14:paraId="7589B944">
            <w:pPr>
              <w:widowControl/>
              <w:jc w:val="center"/>
              <w:rPr>
                <w:b/>
                <w:kern w:val="0"/>
                <w:sz w:val="17"/>
                <w:szCs w:val="17"/>
              </w:rPr>
            </w:pPr>
          </w:p>
        </w:tc>
        <w:tc>
          <w:tcPr>
            <w:tcW w:w="850" w:type="dxa"/>
            <w:tcBorders>
              <w:top w:val="nil"/>
              <w:left w:val="nil"/>
              <w:bottom w:val="single" w:color="auto" w:sz="4" w:space="0"/>
              <w:right w:val="single" w:color="auto" w:sz="4" w:space="0"/>
            </w:tcBorders>
            <w:shd w:val="clear" w:color="auto" w:fill="auto"/>
            <w:noWrap w:val="0"/>
            <w:vAlign w:val="center"/>
          </w:tcPr>
          <w:p w14:paraId="493ACC50">
            <w:pPr>
              <w:widowControl/>
              <w:jc w:val="center"/>
              <w:rPr>
                <w:b/>
                <w:kern w:val="0"/>
                <w:sz w:val="17"/>
                <w:szCs w:val="17"/>
              </w:rPr>
            </w:pPr>
          </w:p>
        </w:tc>
        <w:tc>
          <w:tcPr>
            <w:tcW w:w="993" w:type="dxa"/>
            <w:tcBorders>
              <w:top w:val="nil"/>
              <w:left w:val="nil"/>
              <w:bottom w:val="single" w:color="auto" w:sz="4" w:space="0"/>
              <w:right w:val="single" w:color="auto" w:sz="4" w:space="0"/>
            </w:tcBorders>
            <w:shd w:val="clear" w:color="auto" w:fill="auto"/>
            <w:noWrap w:val="0"/>
            <w:vAlign w:val="center"/>
          </w:tcPr>
          <w:p w14:paraId="15E5D643">
            <w:pPr>
              <w:widowControl/>
              <w:jc w:val="center"/>
              <w:rPr>
                <w:b/>
                <w:kern w:val="0"/>
                <w:sz w:val="17"/>
                <w:szCs w:val="17"/>
              </w:rPr>
            </w:pPr>
            <w:r>
              <w:rPr>
                <w:b/>
                <w:kern w:val="0"/>
                <w:sz w:val="17"/>
                <w:szCs w:val="17"/>
              </w:rPr>
              <w:t>251863.62</w:t>
            </w:r>
          </w:p>
        </w:tc>
        <w:tc>
          <w:tcPr>
            <w:tcW w:w="567" w:type="dxa"/>
            <w:tcBorders>
              <w:top w:val="nil"/>
              <w:left w:val="nil"/>
              <w:bottom w:val="single" w:color="auto" w:sz="4" w:space="0"/>
              <w:right w:val="single" w:color="auto" w:sz="4" w:space="0"/>
            </w:tcBorders>
            <w:shd w:val="clear" w:color="auto" w:fill="auto"/>
            <w:noWrap w:val="0"/>
            <w:vAlign w:val="center"/>
          </w:tcPr>
          <w:p w14:paraId="392AD7CE">
            <w:pPr>
              <w:widowControl/>
              <w:jc w:val="center"/>
              <w:rPr>
                <w:b/>
                <w:kern w:val="0"/>
                <w:sz w:val="17"/>
                <w:szCs w:val="17"/>
              </w:rPr>
            </w:pPr>
            <w:r>
              <w:rPr>
                <w:b/>
                <w:kern w:val="0"/>
                <w:sz w:val="17"/>
                <w:szCs w:val="17"/>
              </w:rPr>
              <w:t>400</w:t>
            </w:r>
          </w:p>
        </w:tc>
        <w:tc>
          <w:tcPr>
            <w:tcW w:w="708" w:type="dxa"/>
            <w:tcBorders>
              <w:top w:val="nil"/>
              <w:left w:val="nil"/>
              <w:bottom w:val="single" w:color="auto" w:sz="4" w:space="0"/>
              <w:right w:val="single" w:color="auto" w:sz="4" w:space="0"/>
            </w:tcBorders>
            <w:shd w:val="clear" w:color="auto" w:fill="auto"/>
            <w:noWrap w:val="0"/>
            <w:vAlign w:val="center"/>
          </w:tcPr>
          <w:p w14:paraId="3A402283">
            <w:pPr>
              <w:widowControl/>
              <w:jc w:val="center"/>
              <w:rPr>
                <w:b/>
                <w:kern w:val="0"/>
                <w:sz w:val="17"/>
                <w:szCs w:val="17"/>
              </w:rPr>
            </w:pPr>
            <w:r>
              <w:rPr>
                <w:b/>
                <w:kern w:val="0"/>
                <w:sz w:val="17"/>
                <w:szCs w:val="17"/>
              </w:rPr>
              <w:t>20010</w:t>
            </w:r>
          </w:p>
        </w:tc>
        <w:tc>
          <w:tcPr>
            <w:tcW w:w="567" w:type="dxa"/>
            <w:tcBorders>
              <w:top w:val="nil"/>
              <w:left w:val="nil"/>
              <w:bottom w:val="single" w:color="auto" w:sz="4" w:space="0"/>
              <w:right w:val="single" w:color="auto" w:sz="4" w:space="0"/>
            </w:tcBorders>
            <w:shd w:val="clear" w:color="auto" w:fill="auto"/>
            <w:noWrap w:val="0"/>
            <w:vAlign w:val="center"/>
          </w:tcPr>
          <w:p w14:paraId="362B28D9">
            <w:pPr>
              <w:widowControl/>
              <w:jc w:val="center"/>
              <w:rPr>
                <w:b/>
                <w:kern w:val="0"/>
                <w:sz w:val="17"/>
                <w:szCs w:val="17"/>
              </w:rPr>
            </w:pPr>
          </w:p>
        </w:tc>
        <w:tc>
          <w:tcPr>
            <w:tcW w:w="993" w:type="dxa"/>
            <w:tcBorders>
              <w:top w:val="nil"/>
              <w:left w:val="nil"/>
              <w:bottom w:val="single" w:color="auto" w:sz="4" w:space="0"/>
              <w:right w:val="single" w:color="auto" w:sz="4" w:space="0"/>
            </w:tcBorders>
            <w:noWrap w:val="0"/>
            <w:vAlign w:val="center"/>
          </w:tcPr>
          <w:p w14:paraId="4A94D728">
            <w:pPr>
              <w:widowControl/>
              <w:spacing w:line="240" w:lineRule="exact"/>
              <w:jc w:val="center"/>
              <w:rPr>
                <w:b/>
                <w:kern w:val="0"/>
                <w:sz w:val="16"/>
                <w:szCs w:val="16"/>
              </w:rPr>
            </w:pPr>
            <w:r>
              <w:rPr>
                <w:b/>
                <w:kern w:val="0"/>
                <w:sz w:val="16"/>
                <w:szCs w:val="16"/>
              </w:rPr>
              <w:t>省厅要求1.88万个学位</w:t>
            </w:r>
          </w:p>
        </w:tc>
      </w:tr>
    </w:tbl>
    <w:p w14:paraId="466A06DD">
      <w:pPr>
        <w:spacing w:line="570" w:lineRule="exact"/>
        <w:ind w:firstLine="640" w:firstLineChars="200"/>
        <w:rPr>
          <w:rFonts w:eastAsia="黑体"/>
          <w:sz w:val="32"/>
          <w:szCs w:val="32"/>
        </w:rPr>
      </w:pPr>
      <w:r>
        <w:rPr>
          <w:rFonts w:eastAsia="楷体_GB2312"/>
          <w:sz w:val="32"/>
          <w:szCs w:val="32"/>
        </w:rPr>
        <w:t>（八）推动县中特色发展。</w:t>
      </w:r>
      <w:r>
        <w:rPr>
          <w:rFonts w:eastAsia="仿宋_GB2312"/>
          <w:sz w:val="32"/>
          <w:szCs w:val="32"/>
        </w:rPr>
        <w:t>综合考虑区域内经济、社会及人才培养需求，以课程建设为核心和载体，研究制定推进本地普通高中特色发展的实施方案，创建一批人文、数理、科技、艺术、体育、综合高中等多种类型特色高中。鼓励和支持各地和高校建立“高中—高校”贯通式人才培养机制，采取委托管理、合作办学等形式建立办学共同体，在课程教材、教学改革、师资建设等方面开展深度合作，在招生、培养等环节紧密衔接。充分利用农业农村资源，形成有地域特色的县中劳动教育和综合实践活动课程教学模式。探索综合高中办学模式，鼓励和支持有条件的普通高中和中职学校开展课程互选、学分互认、资源互通，搭建人才培养立交桥，推进普职融通发展。</w:t>
      </w:r>
      <w:r>
        <w:rPr>
          <w:rFonts w:eastAsia="黑体"/>
          <w:sz w:val="32"/>
          <w:szCs w:val="32"/>
        </w:rPr>
        <w:t>（市教育局）</w:t>
      </w:r>
    </w:p>
    <w:p w14:paraId="6EF09F5A">
      <w:pPr>
        <w:spacing w:line="570" w:lineRule="exact"/>
        <w:rPr>
          <w:rFonts w:eastAsia="黑体"/>
          <w:sz w:val="32"/>
          <w:szCs w:val="32"/>
        </w:rPr>
      </w:pPr>
      <w:r>
        <w:rPr>
          <w:rFonts w:eastAsia="仿宋_GB2312"/>
          <w:sz w:val="32"/>
          <w:szCs w:val="32"/>
        </w:rPr>
        <w:t>　　</w:t>
      </w:r>
      <w:r>
        <w:rPr>
          <w:rFonts w:eastAsia="楷体_GB2312"/>
          <w:sz w:val="32"/>
          <w:szCs w:val="32"/>
        </w:rPr>
        <w:t>（九）提升教育教学质量。</w:t>
      </w:r>
      <w:r>
        <w:rPr>
          <w:rFonts w:eastAsia="仿宋_GB2312"/>
          <w:sz w:val="32"/>
          <w:szCs w:val="32"/>
        </w:rPr>
        <w:t>推动普通高中新课程新教材实施省级示范区、示范校建设，围绕重点工作任务探索新课程新教材实施有效经验，发挥省级示范校的示范引领和帮扶作用，辐射带动其他薄弱学校做好课程教材实施工作。支持各省级示范校立足学校办学定位和人才培养目标，积极构建五育并举的学校课程体系，为不同发展方向的学生开发提供多样化有选择的课程。创新课程组织管理方式，根据国家课程方案建立健全选课走班制度、学分认定和管理制度以及学生发展指导制度，形成规范有序、科学高效的选课走班运行机制。统筹推进县中教育教学改革，积极开展基于普通高中课程标准的教学实践研究，打造高效课堂。推进考试评价改革，完善校本教研制度，积极开展新课程培训基地学校建设，加大对薄弱高中和农村学校的对口帮扶力度。全面推广应用国家智慧教育公共服务平台，推动教师和学生常态化使用平台资源，推进“名师课堂”“名校网络课堂”的常态化应用，实现优质教育资源共建共享。落实教育部《普通高中学校办学质量评价指南》《广东省普通高中学校办学质量评价实施方案（试行）》，充分发挥评价结果的诊断、运用，以评促建、以评促改、以评促强。做好省级普通高中教育质量监测工作，探索建立符合本地实际的普通高中教育质量监测机制，发挥普通高中教育质量监测的诊断功能。</w:t>
      </w:r>
      <w:r>
        <w:rPr>
          <w:rFonts w:eastAsia="黑体"/>
          <w:sz w:val="32"/>
          <w:szCs w:val="32"/>
        </w:rPr>
        <w:t>（市教育局、市财政局）</w:t>
      </w:r>
    </w:p>
    <w:p w14:paraId="6083EB1C">
      <w:pPr>
        <w:spacing w:line="570" w:lineRule="exact"/>
        <w:rPr>
          <w:rFonts w:eastAsia="黑体"/>
          <w:sz w:val="32"/>
          <w:szCs w:val="32"/>
        </w:rPr>
      </w:pPr>
      <w:r>
        <w:rPr>
          <w:rFonts w:eastAsia="仿宋_GB2312"/>
          <w:sz w:val="32"/>
          <w:szCs w:val="32"/>
        </w:rPr>
        <w:t>　　</w:t>
      </w:r>
      <w:r>
        <w:rPr>
          <w:rFonts w:eastAsia="楷体_GB2312"/>
          <w:sz w:val="32"/>
          <w:szCs w:val="32"/>
        </w:rPr>
        <w:t>（十）加强教科研引领。</w:t>
      </w:r>
      <w:r>
        <w:rPr>
          <w:rFonts w:eastAsia="仿宋_GB2312"/>
          <w:sz w:val="32"/>
          <w:szCs w:val="32"/>
        </w:rPr>
        <w:t>各级教研部门按标准配齐普通高中各学科专职教研员，建立教研员定点联系县中制度，组织教研员深入县中持续开展教学指导，推动教研员和县中教师形成教研共同体，充分发挥教研对县中教育发展的专业支撑作用。发挥省级基础教育教研基地项目建设的示范引领作用，科学规划市级基础教育教研基地项目建设，布点建设一批普通高中市级校本教研基地项目，辐射带动区域内县中教育教学质量整体提升。支持县中积极申报并参与省基础教育教研基地项目。依托省教育厅“南方教研大讲堂”、“走进粤东西北教研帮扶”等平台推动县中教科研发展。各级教研部门要大力推动优秀教学成果推广应用，通过组织培训活动、搭建推广平台等方式，探索形成有效的成果推广应用工作机制，根据县中特点积极创设推广方案，扩大示范效应和受益范围，促进优秀成果在县中的本土化落地应用及创新发展，发挥示范引领作用。</w:t>
      </w:r>
      <w:r>
        <w:rPr>
          <w:rFonts w:eastAsia="黑体"/>
          <w:sz w:val="32"/>
          <w:szCs w:val="32"/>
        </w:rPr>
        <w:t>（市教育局、市人社局）</w:t>
      </w:r>
    </w:p>
    <w:p w14:paraId="36E659BF">
      <w:pPr>
        <w:spacing w:line="570" w:lineRule="exact"/>
        <w:rPr>
          <w:rFonts w:eastAsia="黑体"/>
          <w:sz w:val="32"/>
          <w:szCs w:val="32"/>
        </w:rPr>
      </w:pPr>
      <w:r>
        <w:rPr>
          <w:rFonts w:eastAsia="仿宋_GB2312"/>
          <w:sz w:val="32"/>
          <w:szCs w:val="32"/>
        </w:rPr>
        <w:t>　　</w:t>
      </w:r>
      <w:r>
        <w:rPr>
          <w:rFonts w:eastAsia="楷体_GB2312"/>
          <w:sz w:val="32"/>
          <w:szCs w:val="32"/>
        </w:rPr>
        <w:t>（十一）实施县中托管帮扶。</w:t>
      </w:r>
      <w:r>
        <w:rPr>
          <w:rFonts w:eastAsia="仿宋_GB2312"/>
          <w:sz w:val="32"/>
          <w:szCs w:val="32"/>
        </w:rPr>
        <w:t>实施全方位帮扶，整合优化各类帮扶力量，系统集成各项帮扶措施。依托省全口径、全方位、融入式结对帮扶机制，主动加强与高校对接，充分调动高校特别是本地师范院校力量，以提升县中管理水平、加强教研指导和教师培训、提高县中育人质量为重点任务，通过派驻校长教师团队、定期到校指导、组织跟岗挂职锻炼、线上优质资源共享等形式实施托管帮扶，提升县中办学水平。依托广东省基础教育高质量发展实验区建设，推动创建以优质普通高中为核心校组建市域内的教育集团。鼓励各县（市、区）之间、市属学校与县（市、区）学校之间广泛开展基础教育领域的办学合作，组建跨县域的教育集团。发挥湛江第一中学、湛江市第二中学的龙头作用，分别以湛江第一中学、湛江市第二中学为核心校+相关县（市）重点中学为成员校组建2个市域优质高中教育集团；以各县（市）重点中学+县域内其他高中为成员校，组建县域内高中教育集团，实现优质教育资源利用效益最大化。充分发挥省级、市级优质基础教育集团的辐射带动作用，每个教育集团至少帮扶1所薄弱县中。建立县中托管帮扶机制，每所优质普通高中至少托管帮扶1所薄弱县中。组织市域内4所市属优质高中、3所县属国家级示范性高中托管帮扶14所县中，积极争取省教育厅支持协调1所省属优质高中、11所广州市属优质高中跨市托管帮扶我市14所县中，形成市域内帮扶+跨市帮扶模式，确保28所县中托管帮扶全覆盖。建立托管帮扶资金保障机制，为参加帮扶工作教师提供必要的工作生活基本保障，确保帮扶工作顺利开展、取得实效。</w:t>
      </w:r>
      <w:r>
        <w:rPr>
          <w:rFonts w:eastAsia="黑体"/>
          <w:sz w:val="32"/>
          <w:szCs w:val="32"/>
        </w:rPr>
        <w:t>（市教育局、市财政局）</w:t>
      </w:r>
    </w:p>
    <w:p w14:paraId="1E0817B6">
      <w:pPr>
        <w:spacing w:line="570" w:lineRule="exact"/>
        <w:rPr>
          <w:rFonts w:eastAsia="黑体"/>
          <w:sz w:val="32"/>
          <w:szCs w:val="32"/>
        </w:rPr>
      </w:pPr>
      <w:r>
        <w:rPr>
          <w:rFonts w:eastAsia="仿宋_GB2312"/>
          <w:sz w:val="32"/>
          <w:szCs w:val="32"/>
        </w:rPr>
        <w:t>　　</w:t>
      </w:r>
      <w:r>
        <w:rPr>
          <w:rFonts w:eastAsia="楷体_GB2312"/>
          <w:sz w:val="32"/>
          <w:szCs w:val="32"/>
        </w:rPr>
        <w:t>（十二）提升县中管理水平。</w:t>
      </w:r>
      <w:r>
        <w:rPr>
          <w:rFonts w:eastAsia="仿宋_GB2312"/>
          <w:sz w:val="32"/>
          <w:szCs w:val="32"/>
        </w:rPr>
        <w:t>建立健全校内各项管理制度，强化学校常规管理，提高学校管理科学化、规范化、精细化水平。规范招生行为，严格落实招生工作禁令；规范学籍管理，严格落实“人籍一致、籍随人走”管理要求；加强学生心理健康管理，按要求配备专职心理教师，完善家校协同干预机制；加强平安校园建设，建立人防、物防、技防相结合的防控体系，建立健全风险防控、隐患排查、预测预警、应急处置等机制。积极凝练办学理念，明确特色发展目标，丰富学生社团活动，树立良好的教风、学风、校风，持续提升办学治校能力，促进学校内涵发展，增强学校办学活力和内生动力。</w:t>
      </w:r>
      <w:r>
        <w:rPr>
          <w:rFonts w:eastAsia="黑体"/>
          <w:sz w:val="32"/>
          <w:szCs w:val="32"/>
        </w:rPr>
        <w:t>（市教育局</w:t>
      </w:r>
      <w:r>
        <w:rPr>
          <w:rFonts w:hint="default" w:ascii="Times New Roman" w:hAnsi="Times New Roman" w:eastAsia="黑体"/>
          <w:sz w:val="32"/>
          <w:szCs w:val="32"/>
        </w:rPr>
        <w:t>、市公安局</w:t>
      </w:r>
      <w:r>
        <w:rPr>
          <w:rFonts w:eastAsia="黑体"/>
          <w:sz w:val="32"/>
          <w:szCs w:val="32"/>
        </w:rPr>
        <w:t>）</w:t>
      </w:r>
    </w:p>
    <w:p w14:paraId="320312F1">
      <w:pPr>
        <w:spacing w:line="570" w:lineRule="exact"/>
        <w:rPr>
          <w:rFonts w:eastAsia="黑体"/>
          <w:sz w:val="32"/>
          <w:szCs w:val="32"/>
        </w:rPr>
      </w:pPr>
      <w:r>
        <w:rPr>
          <w:rFonts w:eastAsia="仿宋_GB2312"/>
          <w:sz w:val="32"/>
          <w:szCs w:val="32"/>
        </w:rPr>
        <w:t>　　</w:t>
      </w:r>
      <w:r>
        <w:rPr>
          <w:rFonts w:eastAsia="黑体"/>
          <w:sz w:val="32"/>
          <w:szCs w:val="32"/>
        </w:rPr>
        <w:t>四、组织保障</w:t>
      </w:r>
    </w:p>
    <w:p w14:paraId="6646EEA1">
      <w:pPr>
        <w:spacing w:line="570" w:lineRule="exact"/>
        <w:rPr>
          <w:rFonts w:eastAsia="黑体"/>
          <w:sz w:val="32"/>
          <w:szCs w:val="32"/>
        </w:rPr>
      </w:pPr>
      <w:r>
        <w:rPr>
          <w:rFonts w:eastAsia="仿宋_GB2312"/>
          <w:sz w:val="32"/>
          <w:szCs w:val="32"/>
        </w:rPr>
        <w:t>　</w:t>
      </w:r>
      <w:r>
        <w:rPr>
          <w:rFonts w:eastAsia="楷体_GB2312"/>
          <w:sz w:val="32"/>
          <w:szCs w:val="32"/>
        </w:rPr>
        <w:t>　（一）坚持党的全面领导。</w:t>
      </w:r>
      <w:r>
        <w:rPr>
          <w:rFonts w:eastAsia="仿宋_GB2312"/>
          <w:sz w:val="32"/>
          <w:szCs w:val="32"/>
        </w:rPr>
        <w:t>各县（市）要高度重视县中发展提升工作，全面加强党的领导，将县中发展纳入基础教育高质量发展工作统筹谋划，认真研究制定县中发展提升实施方案。要强化属地管理责任，完善普通高中办学管理体制，建立工作机制，出台具体配套政策，制定时间表和路线图。逐步建立以市为主的普通高中统筹管理体制，建立完善普通高中教育资源配置向县中倾斜机制，逐步缩小县中和城区普通高中教育差距。全面加强县中党建工作，落实党组织领导的校长负责制。以政治建设为统领，加强学校领导班子建设，选优配强党组织书记和校长，充分调动和发挥教师的积极性创造性，为加快县中发展提升提供坚强的政治保证和人才保障。</w:t>
      </w:r>
      <w:r>
        <w:rPr>
          <w:rFonts w:eastAsia="黑体"/>
          <w:sz w:val="32"/>
          <w:szCs w:val="32"/>
        </w:rPr>
        <w:t>（市教育局）</w:t>
      </w:r>
    </w:p>
    <w:p w14:paraId="4F6D49A1">
      <w:pPr>
        <w:spacing w:line="570" w:lineRule="exact"/>
        <w:rPr>
          <w:rFonts w:eastAsia="仿宋_GB2312"/>
          <w:sz w:val="32"/>
          <w:szCs w:val="32"/>
        </w:rPr>
      </w:pPr>
      <w:r>
        <w:rPr>
          <w:rFonts w:eastAsia="仿宋_GB2312"/>
          <w:sz w:val="32"/>
          <w:szCs w:val="32"/>
        </w:rPr>
        <w:t>　</w:t>
      </w:r>
      <w:r>
        <w:rPr>
          <w:rFonts w:eastAsia="楷体_GB2312"/>
          <w:sz w:val="32"/>
          <w:szCs w:val="32"/>
        </w:rPr>
        <w:t>　（二）明确部门职责分工。</w:t>
      </w:r>
      <w:r>
        <w:rPr>
          <w:rFonts w:eastAsia="仿宋_GB2312"/>
          <w:sz w:val="32"/>
          <w:szCs w:val="32"/>
        </w:rPr>
        <w:t>各县（市、区）教育部门要加强沟通协调，会同有关部门推动落实好各项任务举措，加强对县中教育教学改革的指导。发展改革、教育部门要把县中发展纳入县级经济社会发展相关规划，支持开展教育基础薄弱县中建设。财政部门要健全普通高中教育经费投入机制，支持改善办学条件。人力资源社会保障部门要支持县中及时补充教师，完善县中教师待遇保障和激励机制。自然资源部门要坚持节约集约原则，合理保障县中建设用地需求。</w:t>
      </w:r>
    </w:p>
    <w:p w14:paraId="470795B8">
      <w:pPr>
        <w:spacing w:line="570" w:lineRule="exact"/>
        <w:rPr>
          <w:rFonts w:eastAsia="仿宋_GB2312"/>
          <w:sz w:val="32"/>
          <w:szCs w:val="32"/>
        </w:rPr>
      </w:pPr>
      <w:r>
        <w:rPr>
          <w:rFonts w:eastAsia="仿宋_GB2312"/>
          <w:sz w:val="32"/>
          <w:szCs w:val="32"/>
        </w:rPr>
        <w:t>　</w:t>
      </w:r>
      <w:r>
        <w:rPr>
          <w:rFonts w:eastAsia="楷体_GB2312"/>
          <w:sz w:val="32"/>
          <w:szCs w:val="32"/>
        </w:rPr>
        <w:t>　（三）强化督导考核评价。</w:t>
      </w:r>
      <w:r>
        <w:rPr>
          <w:rFonts w:eastAsia="仿宋_GB2312"/>
          <w:sz w:val="32"/>
          <w:szCs w:val="32"/>
        </w:rPr>
        <w:t>教育督导部门要将县中发展提升情况作为市县人民政府履行教育职责的重要考核内容，并开展常态化跟踪督导，重点检查普通高中招生管理、县中教师配备、生均公用经费保障、学校标准化建设、化解大班额和大规模学校、办学质量提高等方面情况。对督导评估监测检查发现的问题要限期整改，对工作推进不力或进展缓慢的要进行问责。</w:t>
      </w:r>
    </w:p>
    <w:p w14:paraId="34B80F4D">
      <w:pPr>
        <w:spacing w:line="570" w:lineRule="exact"/>
        <w:ind w:firstLine="640" w:firstLineChars="200"/>
      </w:pPr>
      <w:r>
        <w:rPr>
          <w:rFonts w:eastAsia="楷体_GB2312"/>
          <w:sz w:val="32"/>
          <w:szCs w:val="32"/>
        </w:rPr>
        <w:t>（四）大力营造良好环境。</w:t>
      </w:r>
      <w:r>
        <w:rPr>
          <w:rFonts w:eastAsia="仿宋_GB2312"/>
          <w:sz w:val="32"/>
          <w:szCs w:val="32"/>
        </w:rPr>
        <w:t>各地要坚持正确舆论导向，制订宣传工作方案，利用主流媒体和新媒体平台，深入解读县中发展提升的重要意义、目标任务和工作措施，推动树立素质教育观念，严禁炒作高考升学率和高考状元，取得社会理解支持，努力营造县中持续健康协调发展的良好氛围。</w:t>
      </w:r>
    </w:p>
    <w:p w14:paraId="5C46FDE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001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5758A">
    <w:pPr>
      <w:pStyle w:val="4"/>
      <w:jc w:val="right"/>
    </w:pPr>
    <w:r>
      <w:rPr>
        <w:rStyle w:val="7"/>
        <w:rFonts w:hint="eastAsia" w:ascii="楷体_GB2312" w:hAnsi="宋体" w:eastAsia="楷体_GB2312" w:cs="宋体"/>
        <w:kern w:val="0"/>
        <w:sz w:val="28"/>
        <w:szCs w:val="28"/>
      </w:rPr>
      <w:t>—</w:t>
    </w:r>
    <w:r>
      <w:rPr>
        <w:rFonts w:hint="eastAsia" w:ascii="楷体_GB2312" w:eastAsia="楷体_GB2312"/>
        <w:kern w:val="0"/>
        <w:sz w:val="28"/>
        <w:szCs w:val="28"/>
      </w:rPr>
      <w:fldChar w:fldCharType="begin"/>
    </w:r>
    <w:r>
      <w:rPr>
        <w:rStyle w:val="7"/>
        <w:rFonts w:hint="eastAsia" w:ascii="楷体_GB2312" w:eastAsia="楷体_GB2312"/>
        <w:kern w:val="0"/>
        <w:sz w:val="28"/>
        <w:szCs w:val="28"/>
      </w:rPr>
      <w:instrText xml:space="preserve">PAGE  </w:instrText>
    </w:r>
    <w:r>
      <w:rPr>
        <w:rFonts w:ascii="楷体_GB2312" w:eastAsia="楷体_GB2312"/>
        <w:kern w:val="0"/>
        <w:sz w:val="28"/>
        <w:szCs w:val="28"/>
      </w:rPr>
      <w:fldChar w:fldCharType="separate"/>
    </w:r>
    <w:r>
      <w:rPr>
        <w:rStyle w:val="7"/>
        <w:rFonts w:ascii="楷体_GB2312" w:eastAsia="楷体_GB2312"/>
        <w:kern w:val="0"/>
        <w:sz w:val="28"/>
        <w:szCs w:val="28"/>
      </w:rPr>
      <w:t>3</w:t>
    </w:r>
    <w:r>
      <w:rPr>
        <w:rFonts w:hint="eastAsia" w:ascii="楷体_GB2312" w:eastAsia="楷体_GB2312"/>
        <w:kern w:val="0"/>
        <w:sz w:val="28"/>
        <w:szCs w:val="28"/>
      </w:rPr>
      <w:fldChar w:fldCharType="end"/>
    </w:r>
    <w:r>
      <w:rPr>
        <w:rStyle w:val="7"/>
        <w:rFonts w:hint="eastAsia" w:ascii="楷体_GB2312" w:hAnsi="宋体" w:eastAsia="楷体_GB2312" w:cs="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922129"/>
    <w:rsid w:val="66417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40" w:line="276" w:lineRule="auto"/>
    </w:pPr>
  </w:style>
  <w:style w:type="paragraph" w:styleId="3">
    <w:name w:val="Plain Text"/>
    <w:basedOn w:val="1"/>
    <w:qFormat/>
    <w:uiPriority w:val="99"/>
    <w:rPr>
      <w:rFonts w:ascii="宋体" w:hAnsi="Courier New"/>
      <w:szCs w:val="21"/>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15241</Words>
  <Characters>15698</Characters>
  <Lines>0</Lines>
  <Paragraphs>0</Paragraphs>
  <TotalTime>0</TotalTime>
  <ScaleCrop>false</ScaleCrop>
  <LinksUpToDate>false</LinksUpToDate>
  <CharactersWithSpaces>15735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2025-06-01T13:00:00Z</dcterms:created>
  <dc:creator>74007</dc:creator>
  <cp:lastModifiedBy>春华秋实</cp:lastModifiedBy>
  <dcterms:modified xsi:type="dcterms:W3CDTF">2025-06-01T13:49:45Z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eyJoZGlkIjoiMmMwODc3YTU3ZjM5YzE0OTNhMTdjNjNmY2Y1NjI5ODQiLCJ1c2VySWQiOiIyOTc1ODQyOTYifQ==</vt:lpwstr>
  </property>
  <property fmtid="{D5CDD505-2E9C-101B-9397-08002B2CF9AE}" pid="4" name="ICV">
    <vt:lpwstr>E5AD651911274431A76B9734AB16511B_12</vt:lpwstr>
  </property>
</Properties>
</file>