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BD0C6">
      <w:pPr>
        <w:spacing w:line="288" w:lineRule="auto"/>
        <w:ind w:left="1767" w:hanging="1767" w:hangingChars="400"/>
        <w:jc w:val="center"/>
        <w:rPr>
          <w:rFonts w:ascii="仿宋_GB2312" w:hAnsi="宋体" w:eastAsia="仿宋_GB2312" w:cs="宋体"/>
          <w:b/>
          <w:sz w:val="44"/>
          <w:szCs w:val="44"/>
        </w:rPr>
      </w:pPr>
      <w:bookmarkStart w:id="0" w:name="PO_part3A3Year1"/>
      <w:r>
        <w:rPr>
          <w:rFonts w:ascii="仿宋_GB2312" w:hAnsi="宋体" w:eastAsia="仿宋_GB2312" w:cs="宋体"/>
          <w:b/>
          <w:sz w:val="44"/>
          <w:szCs w:val="44"/>
        </w:rPr>
        <w:t>202</w:t>
      </w:r>
      <w:bookmarkEnd w:id="0"/>
      <w:r>
        <w:rPr>
          <w:rFonts w:hint="eastAsia" w:ascii="仿宋_GB2312" w:hAnsi="宋体" w:eastAsia="仿宋_GB2312" w:cs="宋体"/>
          <w:b/>
          <w:sz w:val="44"/>
          <w:szCs w:val="44"/>
          <w:lang w:val="en-US" w:eastAsia="zh-CN"/>
        </w:rPr>
        <w:t>4</w:t>
      </w:r>
      <w:r>
        <w:rPr>
          <w:rFonts w:hint="eastAsia" w:ascii="仿宋_GB2312" w:hAnsi="宋体" w:eastAsia="仿宋_GB2312" w:cs="宋体"/>
          <w:b/>
          <w:sz w:val="44"/>
          <w:szCs w:val="44"/>
        </w:rPr>
        <w:t>年度财政拨款“三公”经费支出决算</w:t>
      </w:r>
    </w:p>
    <w:p w14:paraId="7D8FE24B">
      <w:pPr>
        <w:spacing w:line="288" w:lineRule="auto"/>
        <w:ind w:left="1767" w:hanging="1767" w:hangingChars="400"/>
        <w:jc w:val="center"/>
        <w:rPr>
          <w:rFonts w:ascii="仿宋_GB2312" w:hAnsi="宋体" w:eastAsia="仿宋_GB2312" w:cs="宋体"/>
          <w:b/>
          <w:sz w:val="44"/>
          <w:szCs w:val="44"/>
        </w:rPr>
      </w:pPr>
      <w:r>
        <w:rPr>
          <w:rFonts w:hint="eastAsia" w:ascii="仿宋_GB2312" w:hAnsi="宋体" w:eastAsia="仿宋_GB2312" w:cs="宋体"/>
          <w:b/>
          <w:sz w:val="44"/>
          <w:szCs w:val="44"/>
        </w:rPr>
        <w:t>情况说明</w:t>
      </w:r>
    </w:p>
    <w:p w14:paraId="22793740">
      <w:pPr>
        <w:ind w:firstLine="643" w:firstLineChars="200"/>
        <w:jc w:val="left"/>
        <w:rPr>
          <w:rFonts w:ascii="仿宋_GB2312" w:hAnsi="宋体" w:eastAsia="仿宋_GB2312" w:cs="宋体"/>
          <w:b/>
          <w:sz w:val="32"/>
          <w:szCs w:val="32"/>
        </w:rPr>
      </w:pPr>
    </w:p>
    <w:p w14:paraId="57506120">
      <w:pPr>
        <w:pStyle w:val="9"/>
        <w:ind w:left="359" w:leftChars="171" w:firstLine="315" w:firstLineChars="98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ascii="仿宋_GB2312" w:hAnsi="宋体" w:eastAsia="仿宋_GB2312" w:cs="宋体"/>
          <w:b/>
          <w:sz w:val="32"/>
          <w:szCs w:val="32"/>
        </w:rPr>
        <w:t>一、“</w:t>
      </w:r>
      <w:r>
        <w:rPr>
          <w:rFonts w:hint="eastAsia" w:ascii="仿宋_GB2312" w:hAnsi="宋体" w:eastAsia="仿宋_GB2312" w:cs="宋体"/>
          <w:b/>
          <w:sz w:val="32"/>
          <w:szCs w:val="32"/>
        </w:rPr>
        <w:t>三公”经费财政拨款支出决算总体情况说明</w:t>
      </w:r>
    </w:p>
    <w:p w14:paraId="5A4BFE20">
      <w:pPr>
        <w:rPr>
          <w:rFonts w:hint="eastAsia" w:ascii="仿宋_GB2312" w:hAnsi="Times New Roman" w:eastAsia="仿宋_GB2312" w:cs="仿宋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 xml:space="preserve">   </w:t>
      </w:r>
      <w:r>
        <w:rPr>
          <w:rFonts w:hint="eastAsia" w:ascii="仿宋_GB2312" w:hAnsi="Times New Roman" w:eastAsia="仿宋_GB2312" w:cs="仿宋"/>
          <w:kern w:val="0"/>
          <w:sz w:val="32"/>
          <w:szCs w:val="32"/>
        </w:rPr>
        <w:t xml:space="preserve"> 湛江市交通工程服务中心2024年度“三公”经费财政拨款支出决算为0万元，完成全年预算0万元的--%（基数为0，不可比），比上年决算数增加0万元，增长--（基数为0，不可比）。其中：因公出国（境）费支出决算为0万元，完成预算0万元的--%（基数为0，不可比），比上年决算数增加0万元，增长--（基数为0，不可比）；公务用车购置及运行维护费支出决算为0万元，完成预算0万元的--%（基数为0，不可比），比上年决算数增加0万元，增长--（基数为0，不可比）；其中：公务用车购置支出决算为0万元，完成预算0万元的--%（基数为0，不可比），比上年决算数增加0万元，增长--（基数为0，不可比）；公务用车运行维护费支出决算为0万元，完成预算0万元的--%（基数为0，不可比），比上年决算数增加0万元，增长--（基数为0，不可比）；公务接待费支出决算为0万元，完成预算0万元的--%（基数为0，不可比），比上年决算数增加0万元，增长--（基数为0，不可比）。</w:t>
      </w:r>
    </w:p>
    <w:p w14:paraId="65D9A3E5">
      <w:pPr>
        <w:ind w:firstLine="640" w:firstLineChars="200"/>
        <w:rPr>
          <w:rFonts w:hint="eastAsia" w:ascii="仿宋_GB2312" w:hAnsi="Times New Roman" w:eastAsia="仿宋_GB2312" w:cs="仿宋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"/>
          <w:kern w:val="0"/>
          <w:sz w:val="32"/>
          <w:szCs w:val="32"/>
        </w:rPr>
        <w:t>2024年度“三公”经费支出决算等于预算数的主要情况：2024年无三公经费支出。</w:t>
      </w:r>
    </w:p>
    <w:p w14:paraId="58C11A0A">
      <w:pPr>
        <w:ind w:firstLine="640" w:firstLineChars="200"/>
        <w:rPr>
          <w:rFonts w:hint="eastAsia" w:ascii="仿宋_GB2312" w:hAnsi="Times New Roman" w:eastAsia="仿宋_GB2312" w:cs="仿宋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"/>
          <w:kern w:val="0"/>
          <w:sz w:val="32"/>
          <w:szCs w:val="32"/>
        </w:rPr>
        <w:t>2024年度“三公”经费支出决算等于上年决算数的主要情况：2023、2024年均无三公经费支出。</w:t>
      </w:r>
    </w:p>
    <w:p w14:paraId="796FF3E5">
      <w:pPr>
        <w:numPr>
          <w:ilvl w:val="0"/>
          <w:numId w:val="1"/>
        </w:num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“三公”经费财政拨款支出决算具体情况说明</w:t>
      </w:r>
    </w:p>
    <w:p w14:paraId="04F6FE62">
      <w:pPr>
        <w:numPr>
          <w:numId w:val="0"/>
        </w:numPr>
        <w:ind w:firstLine="640" w:firstLineChars="200"/>
        <w:rPr>
          <w:rFonts w:hint="eastAsia" w:ascii="仿宋_GB2312" w:hAnsi="Times New Roman" w:eastAsia="仿宋_GB2312" w:cs="仿宋"/>
          <w:kern w:val="0"/>
          <w:sz w:val="32"/>
          <w:szCs w:val="32"/>
        </w:rPr>
      </w:pPr>
      <w:bookmarkStart w:id="4" w:name="_GoBack"/>
      <w:bookmarkEnd w:id="4"/>
      <w:r>
        <w:rPr>
          <w:rFonts w:hint="eastAsia" w:ascii="仿宋_GB2312" w:hAnsi="Times New Roman" w:eastAsia="仿宋_GB2312" w:cs="仿宋"/>
          <w:kern w:val="0"/>
          <w:sz w:val="32"/>
          <w:szCs w:val="32"/>
        </w:rPr>
        <w:t>2024年度“三公”经费财政拨款支出决算中，因公出国（境）费0万元，占0%；公务用车购置及运行维护费支出0万元，占0%；公务接待费支出0万元，占0%。具体情况如下：</w:t>
      </w:r>
    </w:p>
    <w:p w14:paraId="16ED1D19">
      <w:pPr>
        <w:ind w:firstLine="640" w:firstLineChars="200"/>
        <w:rPr>
          <w:rFonts w:hint="eastAsia" w:ascii="仿宋_GB2312" w:hAnsi="Times New Roman" w:eastAsia="仿宋_GB2312" w:cs="仿宋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"/>
          <w:kern w:val="0"/>
          <w:sz w:val="32"/>
          <w:szCs w:val="32"/>
        </w:rPr>
        <w:t>1.因公出国（境）费支出0万元。全年使用财政拨款安排出国（境）团组0个、累计0人次。</w:t>
      </w:r>
    </w:p>
    <w:p w14:paraId="0AA1C673">
      <w:pPr>
        <w:ind w:firstLine="640" w:firstLineChars="200"/>
        <w:rPr>
          <w:rFonts w:hint="eastAsia" w:ascii="仿宋_GB2312" w:hAnsi="Times New Roman" w:eastAsia="仿宋_GB2312" w:cs="仿宋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"/>
          <w:kern w:val="0"/>
          <w:sz w:val="32"/>
          <w:szCs w:val="32"/>
        </w:rPr>
        <w:t>2.公务用车购置及运行维护费支出0万元，其中：公务用车购置支出为0万元，公务用车购置数0辆。公务用车运行维护费支出0万元，公务用车保有量为0辆，主要用于我单位无公务用车，无相关支出内容。</w:t>
      </w:r>
    </w:p>
    <w:p w14:paraId="1AB0AFFE">
      <w:pPr>
        <w:ind w:firstLine="640" w:firstLineChars="200"/>
        <w:rPr>
          <w:rFonts w:hint="eastAsia" w:ascii="仿宋_GB2312" w:hAnsi="Times New Roman" w:eastAsia="仿宋_GB2312" w:cs="仿宋"/>
          <w:kern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Times New Roman" w:eastAsia="仿宋_GB2312" w:cs="仿宋"/>
          <w:kern w:val="0"/>
          <w:sz w:val="32"/>
          <w:szCs w:val="32"/>
        </w:rPr>
        <w:t>3.公务接待费支出0万元，主要用于无公务接待费，共接待国外、境外来访团组0个，来访外宾0人次；发生国内接待0次，接待人数共0人。主要包括：我单位无公务接待费。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 w14:paraId="58C70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B9143">
            <w:pPr>
              <w:jc w:val="right"/>
              <w:rPr>
                <w:rFonts w:ascii="宋体" w:hAnsi="宋体" w:cs="宋体"/>
              </w:rPr>
            </w:pPr>
          </w:p>
        </w:tc>
      </w:tr>
      <w:tr w14:paraId="4CBDC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379CBD5F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202</w:t>
            </w: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年财政拨款“三公”经费支出决算表</w:t>
            </w:r>
          </w:p>
        </w:tc>
      </w:tr>
      <w:tr w14:paraId="3D25F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241CDF9">
            <w:pPr>
              <w:spacing w:line="288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bookmarkStart w:id="1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单位 </w:t>
            </w:r>
            <w:bookmarkEnd w:id="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2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湛江市</w:t>
            </w:r>
            <w:bookmarkEnd w:id="2"/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交通工程服务中心</w:t>
            </w:r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E269DB4">
            <w:pPr>
              <w:jc w:val="righ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 w14:paraId="25B3A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vAlign w:val="center"/>
          </w:tcPr>
          <w:p w14:paraId="012933A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vAlign w:val="center"/>
          </w:tcPr>
          <w:p w14:paraId="4217A49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 w14:paraId="5E1A5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vAlign w:val="center"/>
          </w:tcPr>
          <w:p w14:paraId="1DEA262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14:paraId="2EC6E5A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14:paraId="68D649F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 w14:paraId="06DEE8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 w14:paraId="0BB0D7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14:paraId="6C33CED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14:paraId="1562075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 w14:paraId="58BFF42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 w14:paraId="0FDE0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</w:tcPr>
          <w:p w14:paraId="7E30D4A6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 w14:paraId="49538C3F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14:paraId="2F08D52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14:paraId="2628F3B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 w14:paraId="16F15C4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 w:val="continue"/>
          </w:tcPr>
          <w:p w14:paraId="3F81984B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 w14:paraId="2C68492E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 w14:paraId="26D73D50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14:paraId="1D34D36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14:paraId="532286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 w14:paraId="6255A2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</w:tcPr>
          <w:p w14:paraId="28369DF3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</w:tr>
      <w:tr w14:paraId="60014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 w14:paraId="21A2605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 w14:paraId="290F0EC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 w14:paraId="4A6F79C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 w14:paraId="4D9B207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 w14:paraId="28B3469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 w14:paraId="24348E4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 w14:paraId="65539A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 w14:paraId="1EFF4A8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 w14:paraId="0D6935C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 w14:paraId="26A8316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 w14:paraId="5C77DF4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 w14:paraId="6F38E1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 w14:paraId="488FE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 w14:paraId="6C16C395"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0.00</w:t>
            </w:r>
          </w:p>
        </w:tc>
        <w:tc>
          <w:tcPr>
            <w:tcW w:w="1182" w:type="dxa"/>
            <w:vAlign w:val="center"/>
          </w:tcPr>
          <w:p w14:paraId="682475DA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14:paraId="795D76D9"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0.00</w:t>
            </w:r>
          </w:p>
        </w:tc>
        <w:tc>
          <w:tcPr>
            <w:tcW w:w="1182" w:type="dxa"/>
            <w:vAlign w:val="center"/>
          </w:tcPr>
          <w:p w14:paraId="54AF919D"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0.00</w:t>
            </w:r>
          </w:p>
        </w:tc>
        <w:tc>
          <w:tcPr>
            <w:tcW w:w="1182" w:type="dxa"/>
            <w:vAlign w:val="center"/>
          </w:tcPr>
          <w:p w14:paraId="10957DDE"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0.00</w:t>
            </w:r>
          </w:p>
        </w:tc>
        <w:tc>
          <w:tcPr>
            <w:tcW w:w="1182" w:type="dxa"/>
            <w:vAlign w:val="center"/>
          </w:tcPr>
          <w:p w14:paraId="4C5B076F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14:paraId="797D580B"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0.00</w:t>
            </w:r>
          </w:p>
        </w:tc>
        <w:tc>
          <w:tcPr>
            <w:tcW w:w="1182" w:type="dxa"/>
            <w:vAlign w:val="center"/>
          </w:tcPr>
          <w:p w14:paraId="575FF321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14:paraId="30F751C3"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0.00</w:t>
            </w:r>
          </w:p>
        </w:tc>
        <w:tc>
          <w:tcPr>
            <w:tcW w:w="1182" w:type="dxa"/>
            <w:vAlign w:val="center"/>
          </w:tcPr>
          <w:p w14:paraId="4C8B41EC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14:paraId="5E9213CC"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0.00</w:t>
            </w:r>
          </w:p>
        </w:tc>
        <w:tc>
          <w:tcPr>
            <w:tcW w:w="1171" w:type="dxa"/>
            <w:vAlign w:val="center"/>
          </w:tcPr>
          <w:p w14:paraId="5A8EFA1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</w:tr>
    </w:tbl>
    <w:p w14:paraId="31F7348B">
      <w:pPr>
        <w:spacing w:line="288" w:lineRule="auto"/>
      </w:pPr>
      <w:r>
        <w:rPr>
          <w:rFonts w:hint="eastAsia" w:ascii="宋体" w:hAnsi="宋体" w:cs="宋体"/>
          <w:szCs w:val="21"/>
        </w:rPr>
        <w:t>注：</w:t>
      </w:r>
      <w:bookmarkStart w:id="3" w:name="PO_part2Table1Remark9"/>
      <w:r>
        <w:rPr>
          <w:rFonts w:hint="eastAsia" w:ascii="宋体" w:hAnsi="宋体" w:cs="宋体"/>
          <w:szCs w:val="21"/>
        </w:rPr>
        <w:t xml:space="preserve">本表反映单位本年度财政拨款“三公”经费支出预决算情况。其中，预算数为“三公”经费全年预算数，反映按规定程序调整后的预算数；决算数是包括当年财政拨款和以前年度结转资金安排的实际支出。 </w:t>
      </w:r>
      <w:bookmarkEnd w:id="3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B31A44"/>
    <w:multiLevelType w:val="singleLevel"/>
    <w:tmpl w:val="A1B31A4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17FC0"/>
    <w:rsid w:val="00050657"/>
    <w:rsid w:val="0005330D"/>
    <w:rsid w:val="001D21AE"/>
    <w:rsid w:val="001E79C4"/>
    <w:rsid w:val="00247FAA"/>
    <w:rsid w:val="002B04E7"/>
    <w:rsid w:val="002F11F9"/>
    <w:rsid w:val="00312D55"/>
    <w:rsid w:val="00727673"/>
    <w:rsid w:val="0074474F"/>
    <w:rsid w:val="00787445"/>
    <w:rsid w:val="00791C0B"/>
    <w:rsid w:val="00A33AE3"/>
    <w:rsid w:val="00A712D0"/>
    <w:rsid w:val="00C32FE5"/>
    <w:rsid w:val="00D51619"/>
    <w:rsid w:val="00D949BF"/>
    <w:rsid w:val="00DF742F"/>
    <w:rsid w:val="00EA5F39"/>
    <w:rsid w:val="00EB083E"/>
    <w:rsid w:val="00FF2A83"/>
    <w:rsid w:val="0B4A7984"/>
    <w:rsid w:val="46CD691B"/>
    <w:rsid w:val="4CB41B97"/>
    <w:rsid w:val="57805E30"/>
    <w:rsid w:val="60E226CB"/>
    <w:rsid w:val="71C97C97"/>
    <w:rsid w:val="77817F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8">
    <w:name w:val="Default"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sz w:val="24"/>
      <w:szCs w:val="24"/>
      <w:lang w:val="en-US" w:eastAsia="zh-CN" w:bidi="ar-SA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1081</Words>
  <Characters>1187</Characters>
  <Lines>9</Lines>
  <Paragraphs>2</Paragraphs>
  <TotalTime>12</TotalTime>
  <ScaleCrop>false</ScaleCrop>
  <LinksUpToDate>false</LinksUpToDate>
  <CharactersWithSpaces>1219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2024-09-05T08:37:00Z</dcterms:created>
  <dc:creator>琉璃雪</dc:creator>
  <cp:lastModifiedBy>林若莹</cp:lastModifiedBy>
  <dcterms:modified xsi:type="dcterms:W3CDTF">2025-09-12T06:51:33Z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684ECF16DAC44524BFD431E6E6942DDF_13</vt:lpwstr>
  </property>
  <property fmtid="{D5CDD505-2E9C-101B-9397-08002B2CF9AE}" pid="4" name="KSOTemplateDocerSaveRecord">
    <vt:lpwstr>eyJoZGlkIjoiOTUxYmNjOWQwNGUyMzYzYmI2MTgzOTk4YjFiZDg2YzQiLCJ1c2VySWQiOiIxMTQ1MTQ1ODg5In0=</vt:lpwstr>
  </property>
</Properties>
</file>