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lang w:eastAsia="zh-CN"/>
        </w:rPr>
        <w:t>关于《</w:t>
      </w:r>
      <w:r>
        <w:rPr>
          <w:rFonts w:hint="eastAsia" w:ascii="方正小标宋简体" w:hAnsi="方正小标宋简体" w:eastAsia="方正小标宋简体" w:cs="方正小标宋简体"/>
          <w:sz w:val="40"/>
          <w:szCs w:val="40"/>
          <w:lang w:val="en-US" w:eastAsia="zh-CN"/>
        </w:rPr>
        <w:t>湛江市工程技术研究中心建设管理办法</w:t>
      </w:r>
      <w:r>
        <w:rPr>
          <w:rFonts w:hint="eastAsia" w:ascii="方正小标宋简体" w:hAnsi="方正小标宋简体" w:eastAsia="方正小标宋简体" w:cs="方正小标宋简体"/>
          <w:sz w:val="40"/>
          <w:szCs w:val="40"/>
          <w:lang w:eastAsia="zh-CN"/>
        </w:rPr>
        <w:t>》</w:t>
      </w:r>
      <w:r>
        <w:rPr>
          <w:rFonts w:hint="eastAsia" w:ascii="方正小标宋简体" w:hAnsi="方正小标宋简体" w:eastAsia="方正小标宋简体" w:cs="方正小标宋简体"/>
          <w:sz w:val="40"/>
          <w:szCs w:val="40"/>
        </w:rPr>
        <w:t>起草说明</w:t>
      </w:r>
    </w:p>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《广东省行政规范性文件管理规定》（粤府令</w:t>
      </w:r>
      <w:r>
        <w:rPr>
          <w:rFonts w:hint="eastAsia" w:ascii="仿宋_GB2312" w:hAnsi="仿宋_GB2312" w:eastAsia="仿宋_GB2312" w:cs="仿宋_GB2312"/>
          <w:sz w:val="32"/>
          <w:szCs w:val="32"/>
          <w:lang w:eastAsia="zh-CN"/>
        </w:rPr>
        <w:t>第</w:t>
      </w:r>
      <w:r>
        <w:rPr>
          <w:rFonts w:hint="eastAsia" w:ascii="仿宋_GB2312" w:hAnsi="仿宋_GB2312" w:eastAsia="仿宋_GB2312" w:cs="仿宋_GB2312"/>
          <w:sz w:val="32"/>
          <w:szCs w:val="32"/>
          <w:lang w:val="en-US" w:eastAsia="zh-CN"/>
        </w:rPr>
        <w:t>277</w:t>
      </w:r>
      <w:r>
        <w:rPr>
          <w:rFonts w:hint="eastAsia" w:ascii="仿宋_GB2312" w:hAnsi="仿宋_GB2312" w:eastAsia="仿宋_GB2312" w:cs="仿宋_GB2312"/>
          <w:sz w:val="32"/>
          <w:szCs w:val="32"/>
        </w:rPr>
        <w:t>号）第十</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条和《广东省人民政府办公厅关于进一步加强行政规范性文件监督管理工作的意见》第四点要求，我局针对《</w:t>
      </w:r>
      <w:r>
        <w:rPr>
          <w:rFonts w:hint="eastAsia" w:ascii="仿宋_GB2312" w:hAnsi="仿宋_GB2312" w:eastAsia="仿宋_GB2312" w:cs="仿宋_GB2312"/>
          <w:sz w:val="32"/>
          <w:szCs w:val="32"/>
          <w:lang w:val="en-US" w:eastAsia="zh-CN"/>
        </w:rPr>
        <w:t>湛江市工程技术研究中心建设管理办法</w:t>
      </w:r>
      <w:r>
        <w:rPr>
          <w:rFonts w:hint="eastAsia" w:ascii="仿宋_GB2312" w:hAnsi="仿宋_GB2312" w:eastAsia="仿宋_GB2312" w:cs="仿宋_GB2312"/>
          <w:sz w:val="32"/>
          <w:szCs w:val="32"/>
        </w:rPr>
        <w:t>》制定有关事宜作说明如下：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一、制定文件的目的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Calibri" w:eastAsia="仿宋_GB2312" w:cs="Times New Roman"/>
          <w:b w:val="0"/>
          <w:bCs w:val="0"/>
          <w:kern w:val="2"/>
          <w:sz w:val="32"/>
          <w:szCs w:val="32"/>
          <w:lang w:val="en-US" w:eastAsia="zh-CN" w:bidi="ar-SA"/>
        </w:rPr>
        <w:t>为贯彻落实《中共广东省委 广东省人民政府关于支持湛江加快建设省域副中心城市 打造现代化沿海经济带重要发展级的意见》（粤发〔2021〕4号）工作部署，深入实施创新驱动发展战略行动计划，</w:t>
      </w:r>
      <w:r>
        <w:rPr>
          <w:rFonts w:hint="eastAsia" w:ascii="仿宋_GB2312" w:cs="Times New Roman"/>
          <w:b w:val="0"/>
          <w:bCs w:val="0"/>
          <w:kern w:val="2"/>
          <w:sz w:val="32"/>
          <w:szCs w:val="32"/>
          <w:lang w:val="en-US" w:eastAsia="zh-CN" w:bidi="ar-SA"/>
        </w:rPr>
        <w:t>进一步</w:t>
      </w:r>
      <w:r>
        <w:rPr>
          <w:rFonts w:hint="eastAsia" w:ascii="仿宋_GB2312" w:hAnsi="Calibri" w:eastAsia="仿宋_GB2312" w:cs="Times New Roman"/>
          <w:b w:val="0"/>
          <w:bCs w:val="0"/>
          <w:kern w:val="2"/>
          <w:sz w:val="32"/>
          <w:szCs w:val="32"/>
          <w:lang w:val="en-US" w:eastAsia="zh-CN" w:bidi="ar-SA"/>
        </w:rPr>
        <w:t>加强和规范我市工程研究中心建设和运行管理，建立健全以企业为主体、市场为导向、产学研相结合的技术创新体系，充分发挥市工程技术研究</w:t>
      </w:r>
      <w:r>
        <w:rPr>
          <w:rFonts w:hint="eastAsia" w:ascii="仿宋_GB2312" w:hAnsi="仿宋_GB2312" w:eastAsia="仿宋_GB2312" w:cs="仿宋_GB2312"/>
          <w:sz w:val="32"/>
          <w:szCs w:val="32"/>
        </w:rPr>
        <w:t>中心在促进技术创新、推动科技成果转化及产业化方面的示范和带动作用</w:t>
      </w:r>
      <w:r>
        <w:rPr>
          <w:rFonts w:hint="eastAsia" w:ascii="仿宋_GB2312" w:hAnsi="仿宋_GB2312" w:cs="仿宋_GB2312"/>
          <w:sz w:val="32"/>
          <w:szCs w:val="32"/>
          <w:lang w:eastAsia="zh-CN"/>
        </w:rPr>
        <w:t>，</w:t>
      </w:r>
      <w:r>
        <w:rPr>
          <w:rFonts w:hint="eastAsia" w:ascii="仿宋_GB2312" w:hAnsi="Calibri" w:eastAsia="仿宋_GB2312" w:cs="Times New Roman"/>
          <w:b w:val="0"/>
          <w:bCs w:val="0"/>
          <w:kern w:val="2"/>
          <w:sz w:val="32"/>
          <w:szCs w:val="32"/>
          <w:lang w:val="en-US" w:eastAsia="zh-CN" w:bidi="ar-SA"/>
        </w:rPr>
        <w:t>提升</w:t>
      </w:r>
      <w:r>
        <w:rPr>
          <w:rFonts w:hint="eastAsia" w:ascii="仿宋_GB2312" w:cs="Times New Roman"/>
          <w:b w:val="0"/>
          <w:bCs w:val="0"/>
          <w:kern w:val="2"/>
          <w:sz w:val="32"/>
          <w:szCs w:val="32"/>
          <w:lang w:val="en-US" w:eastAsia="zh-CN" w:bidi="ar-SA"/>
        </w:rPr>
        <w:t>我市</w:t>
      </w:r>
      <w:r>
        <w:rPr>
          <w:rFonts w:hint="eastAsia" w:ascii="仿宋_GB2312" w:hAnsi="Calibri" w:eastAsia="仿宋_GB2312" w:cs="Times New Roman"/>
          <w:b w:val="0"/>
          <w:bCs w:val="0"/>
          <w:kern w:val="2"/>
          <w:sz w:val="32"/>
          <w:szCs w:val="32"/>
          <w:lang w:val="en-US" w:eastAsia="zh-CN" w:bidi="ar-SA"/>
        </w:rPr>
        <w:t>自主创新能力和科技进步水平，</w:t>
      </w:r>
      <w:r>
        <w:rPr>
          <w:rFonts w:hint="eastAsia" w:ascii="仿宋_GB2312" w:hAnsi="仿宋_GB2312" w:eastAsia="仿宋_GB2312" w:cs="仿宋_GB2312"/>
          <w:sz w:val="32"/>
          <w:szCs w:val="32"/>
        </w:rPr>
        <w:t>现结合我市实际</w:t>
      </w:r>
      <w:r>
        <w:rPr>
          <w:rFonts w:hint="eastAsia" w:ascii="仿宋_GB2312" w:hAnsi="仿宋_GB2312" w:eastAsia="仿宋_GB2312" w:cs="仿宋_GB2312"/>
          <w:sz w:val="32"/>
          <w:szCs w:val="32"/>
          <w:lang w:val="en-US" w:eastAsia="zh-CN"/>
        </w:rPr>
        <w:t>特制定本</w:t>
      </w:r>
      <w:r>
        <w:rPr>
          <w:rFonts w:hint="eastAsia" w:ascii="仿宋_GB2312" w:hAnsi="仿宋_GB2312" w:cs="仿宋_GB2312"/>
          <w:sz w:val="32"/>
          <w:szCs w:val="32"/>
          <w:lang w:val="en-US" w:eastAsia="zh-CN"/>
        </w:rPr>
        <w:t>办法</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val="en-US" w:eastAsia="zh-CN"/>
        </w:rPr>
        <w:t>法律</w:t>
      </w:r>
      <w:r>
        <w:rPr>
          <w:rFonts w:hint="eastAsia" w:ascii="黑体" w:hAnsi="黑体" w:eastAsia="黑体" w:cs="黑体"/>
          <w:sz w:val="32"/>
          <w:szCs w:val="32"/>
        </w:rPr>
        <w:t>政策依据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国家法律法规：《</w:t>
      </w:r>
      <w:r>
        <w:rPr>
          <w:rFonts w:hint="eastAsia" w:ascii="仿宋_GB2312" w:hAnsi="仿宋_GB2312" w:eastAsia="仿宋_GB2312" w:cs="仿宋_GB2312"/>
          <w:sz w:val="32"/>
          <w:szCs w:val="32"/>
          <w:lang w:val="en-US" w:eastAsia="zh-CN"/>
        </w:rPr>
        <w:t>科技进步</w:t>
      </w:r>
      <w:r>
        <w:rPr>
          <w:rFonts w:hint="eastAsia" w:ascii="仿宋_GB2312" w:hAnsi="仿宋_GB2312" w:eastAsia="仿宋_GB2312" w:cs="仿宋_GB2312"/>
          <w:sz w:val="32"/>
          <w:szCs w:val="32"/>
        </w:rPr>
        <w:t>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国家部委规章和政府规章：《</w:t>
      </w:r>
      <w:r>
        <w:rPr>
          <w:rFonts w:hint="eastAsia" w:ascii="仿宋_GB2312" w:hAnsi="仿宋_GB2312" w:eastAsia="仿宋_GB2312" w:cs="仿宋_GB2312"/>
          <w:sz w:val="32"/>
          <w:szCs w:val="32"/>
          <w:lang w:eastAsia="zh-CN"/>
        </w:rPr>
        <w:t>国家工程技术研究中心暂行管理办法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［９３］国科发计字０６０号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kern w:val="0"/>
          <w:sz w:val="28"/>
          <w:szCs w:val="28"/>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相关规范性文件</w:t>
      </w:r>
      <w:r>
        <w:rPr>
          <w:rFonts w:hint="eastAsia" w:ascii="仿宋_GB2312" w:hAnsi="仿宋_GB2312" w:eastAsia="仿宋_GB2312" w:cs="仿宋_GB2312"/>
          <w:sz w:val="32"/>
          <w:szCs w:val="32"/>
          <w:lang w:eastAsia="zh-CN"/>
        </w:rPr>
        <w:t>：《广东省科学技术厅关于省工程技术研究中心建设的管理办法》（</w:t>
      </w:r>
      <w:r>
        <w:rPr>
          <w:rFonts w:hint="eastAsia" w:ascii="仿宋_GB2312" w:hAnsi="仿宋_GB2312" w:eastAsia="仿宋_GB2312" w:cs="仿宋_GB2312"/>
          <w:sz w:val="32"/>
          <w:szCs w:val="32"/>
        </w:rPr>
        <w:t>粤科函政字〔2013〕1513号</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三、起草过程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Calibri" w:eastAsia="仿宋_GB2312" w:cs="Times New Roman"/>
          <w:b w:val="0"/>
          <w:bCs w:val="0"/>
          <w:kern w:val="2"/>
          <w:sz w:val="32"/>
          <w:szCs w:val="32"/>
          <w:lang w:val="en-US" w:eastAsia="zh-CN" w:bidi="ar-SA"/>
        </w:rPr>
        <w:t>为贯彻落实《中共广东省委 广东省人民政府关于支持湛江加快建设省域副中心城市 打造现代化沿海经济带重要发展级的意见》（粤发〔2021〕4号）工作部署</w:t>
      </w:r>
      <w:r>
        <w:rPr>
          <w:rFonts w:hint="eastAsia" w:ascii="仿宋_GB2312" w:hAnsi="宋体" w:eastAsia="仿宋_GB2312" w:cs="仿宋_GB2312"/>
          <w:color w:val="000000"/>
          <w:kern w:val="0"/>
          <w:sz w:val="31"/>
          <w:szCs w:val="31"/>
          <w:lang w:val="en-US" w:eastAsia="zh-CN" w:bidi="ar"/>
        </w:rPr>
        <w:t>，加快构建区域创新中心建设，</w:t>
      </w:r>
      <w:r>
        <w:rPr>
          <w:rFonts w:hint="eastAsia" w:ascii="仿宋_GB2312" w:hAnsi="Calibri" w:eastAsia="仿宋_GB2312" w:cs="Times New Roman"/>
          <w:b w:val="0"/>
          <w:bCs w:val="0"/>
          <w:kern w:val="2"/>
          <w:sz w:val="32"/>
          <w:szCs w:val="32"/>
          <w:lang w:val="en-US" w:eastAsia="zh-CN" w:bidi="ar-SA"/>
        </w:rPr>
        <w:t>进一步健全完善</w:t>
      </w:r>
      <w:r>
        <w:rPr>
          <w:rFonts w:hint="eastAsia" w:ascii="仿宋_GB2312" w:eastAsia="仿宋_GB2312" w:cs="Times New Roman"/>
          <w:b w:val="0"/>
          <w:bCs w:val="0"/>
          <w:kern w:val="2"/>
          <w:sz w:val="32"/>
          <w:szCs w:val="32"/>
          <w:lang w:val="en-US" w:eastAsia="zh-CN" w:bidi="ar-SA"/>
        </w:rPr>
        <w:t>我市</w:t>
      </w:r>
      <w:r>
        <w:rPr>
          <w:rFonts w:hint="eastAsia" w:ascii="仿宋_GB2312" w:hAnsi="Calibri" w:eastAsia="仿宋_GB2312" w:cs="Times New Roman"/>
          <w:b w:val="0"/>
          <w:bCs w:val="0"/>
          <w:kern w:val="2"/>
          <w:sz w:val="32"/>
          <w:szCs w:val="32"/>
          <w:lang w:val="en-US" w:eastAsia="zh-CN" w:bidi="ar-SA"/>
        </w:rPr>
        <w:t>科技创新系列政策，</w:t>
      </w:r>
      <w:r>
        <w:rPr>
          <w:rFonts w:hint="eastAsia" w:ascii="仿宋_GB2312" w:hAnsi="仿宋_GB2312" w:cs="仿宋_GB2312"/>
          <w:sz w:val="32"/>
          <w:szCs w:val="32"/>
          <w:lang w:val="en-US" w:eastAsia="zh-CN"/>
        </w:rPr>
        <w:t>在局内多次讨论修改</w:t>
      </w:r>
      <w:r>
        <w:rPr>
          <w:rFonts w:hint="eastAsia" w:ascii="仿宋_GB2312" w:hAnsi="仿宋_GB2312" w:eastAsia="仿宋_GB2312" w:cs="仿宋_GB2312"/>
          <w:sz w:val="32"/>
          <w:szCs w:val="32"/>
          <w:lang w:val="en-US" w:eastAsia="zh-CN"/>
        </w:rPr>
        <w:t>基础上，</w:t>
      </w:r>
      <w:r>
        <w:rPr>
          <w:rFonts w:hint="eastAsia" w:ascii="仿宋_GB2312" w:hAnsi="Calibri" w:eastAsia="仿宋_GB2312" w:cs="Times New Roman"/>
          <w:b w:val="0"/>
          <w:bCs w:val="0"/>
          <w:kern w:val="2"/>
          <w:sz w:val="32"/>
          <w:szCs w:val="32"/>
          <w:lang w:val="en-US" w:eastAsia="zh-CN" w:bidi="ar-SA"/>
        </w:rPr>
        <w:t>我局</w:t>
      </w:r>
      <w:r>
        <w:rPr>
          <w:rFonts w:hint="eastAsia" w:ascii="仿宋_GB2312" w:eastAsia="仿宋_GB2312" w:cs="Times New Roman"/>
          <w:b w:val="0"/>
          <w:bCs w:val="0"/>
          <w:kern w:val="2"/>
          <w:sz w:val="32"/>
          <w:szCs w:val="32"/>
          <w:lang w:val="en-US" w:eastAsia="zh-CN" w:bidi="ar-SA"/>
        </w:rPr>
        <w:t>草拟</w:t>
      </w:r>
      <w:r>
        <w:rPr>
          <w:rFonts w:hint="eastAsia" w:ascii="仿宋_GB2312" w:hAnsi="Calibri" w:eastAsia="仿宋_GB2312" w:cs="Times New Roman"/>
          <w:b w:val="0"/>
          <w:bCs w:val="0"/>
          <w:kern w:val="2"/>
          <w:sz w:val="32"/>
          <w:szCs w:val="32"/>
          <w:lang w:val="en-US" w:eastAsia="zh-CN" w:bidi="ar-SA"/>
        </w:rPr>
        <w:t>了《湛江市工程技术研究中心建设管理办法（征求意见稿）》</w:t>
      </w:r>
      <w:r>
        <w:rPr>
          <w:rFonts w:hint="eastAsia"/>
          <w:lang w:eastAsia="zh-CN"/>
        </w:rPr>
        <w:t>，</w:t>
      </w:r>
      <w:r>
        <w:rPr>
          <w:rFonts w:hint="eastAsia" w:ascii="仿宋_GB2312" w:hAnsi="仿宋_GB2312" w:eastAsia="仿宋_GB2312" w:cs="仿宋_GB2312"/>
          <w:sz w:val="32"/>
          <w:szCs w:val="32"/>
          <w:lang w:val="en-US" w:eastAsia="zh-CN"/>
        </w:rPr>
        <w:t>并于</w:t>
      </w:r>
      <w:r>
        <w:rPr>
          <w:rFonts w:hint="eastAsia" w:ascii="仿宋_GB2312" w:hAnsi="仿宋_GB2312" w:cs="仿宋_GB2312"/>
          <w:sz w:val="32"/>
          <w:szCs w:val="32"/>
          <w:lang w:val="en-US" w:eastAsia="zh-CN"/>
        </w:rPr>
        <w:t>2021年10月8日</w:t>
      </w:r>
      <w:r>
        <w:rPr>
          <w:rFonts w:hint="eastAsia" w:ascii="仿宋_GB2312" w:hAnsi="仿宋_GB2312" w:eastAsia="仿宋_GB2312" w:cs="仿宋_GB2312"/>
          <w:sz w:val="32"/>
          <w:szCs w:val="32"/>
          <w:lang w:val="en-US" w:eastAsia="zh-CN"/>
        </w:rPr>
        <w:t>征求各县市区科技主管部门和市发展和改革局、市工信局等相关单位，根据流程，现拟征求社会公众意见。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主要内容说明</w:t>
      </w:r>
    </w:p>
    <w:p>
      <w:pPr>
        <w:ind w:firstLine="645"/>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《办法》</w:t>
      </w:r>
      <w:r>
        <w:rPr>
          <w:rFonts w:hint="eastAsia" w:ascii="仿宋_GB2312" w:hAnsi="仿宋_GB2312" w:eastAsia="仿宋_GB2312" w:cs="仿宋_GB2312"/>
          <w:sz w:val="32"/>
          <w:szCs w:val="32"/>
          <w:lang w:val="en-US" w:eastAsia="zh-CN"/>
        </w:rPr>
        <w:t>分为</w:t>
      </w:r>
      <w:r>
        <w:rPr>
          <w:rFonts w:hint="eastAsia" w:ascii="仿宋_GB2312" w:hAnsi="仿宋_GB2312" w:cs="仿宋_GB2312"/>
          <w:sz w:val="32"/>
          <w:szCs w:val="32"/>
          <w:lang w:val="en-US" w:eastAsia="zh-CN"/>
        </w:rPr>
        <w:t>五章</w:t>
      </w:r>
      <w:r>
        <w:rPr>
          <w:rFonts w:hint="eastAsia" w:ascii="仿宋_GB2312" w:hAnsi="仿宋_GB2312" w:eastAsia="仿宋_GB2312" w:cs="仿宋_GB2312"/>
          <w:sz w:val="32"/>
          <w:szCs w:val="32"/>
        </w:rPr>
        <w:t>组成。第一</w:t>
      </w:r>
      <w:r>
        <w:rPr>
          <w:rFonts w:hint="eastAsia" w:ascii="仿宋_GB2312" w:hAnsi="仿宋_GB2312" w:cs="仿宋_GB2312"/>
          <w:sz w:val="32"/>
          <w:szCs w:val="32"/>
          <w:lang w:val="en-US" w:eastAsia="zh-CN"/>
        </w:rPr>
        <w:t>章总则</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提出制定办法目的和意义，解释了</w:t>
      </w:r>
      <w:r>
        <w:rPr>
          <w:rFonts w:hint="eastAsia" w:ascii="仿宋_GB2312" w:hAnsi="仿宋_GB2312" w:eastAsia="仿宋_GB2312" w:cs="仿宋_GB2312"/>
          <w:sz w:val="32"/>
          <w:szCs w:val="32"/>
        </w:rPr>
        <w:t>工程技术研究中心</w:t>
      </w:r>
      <w:r>
        <w:rPr>
          <w:rFonts w:hint="eastAsia" w:ascii="仿宋_GB2312" w:hAnsi="仿宋_GB2312" w:cs="仿宋_GB2312"/>
          <w:sz w:val="32"/>
          <w:szCs w:val="32"/>
          <w:lang w:val="en-US" w:eastAsia="zh-CN"/>
        </w:rPr>
        <w:t>定义、分类以及各级科技行政主管部门的责任；第二章阐述</w:t>
      </w:r>
      <w:r>
        <w:rPr>
          <w:rFonts w:hint="eastAsia" w:ascii="仿宋_GB2312" w:hAnsi="仿宋_GB2312" w:eastAsia="仿宋_GB2312" w:cs="仿宋_GB2312"/>
          <w:sz w:val="32"/>
          <w:szCs w:val="32"/>
        </w:rPr>
        <w:t>企业类工程中心</w:t>
      </w:r>
      <w:r>
        <w:rPr>
          <w:rFonts w:hint="eastAsia" w:ascii="仿宋_GB2312" w:hAnsi="仿宋_GB2312" w:cs="仿宋_GB2312"/>
          <w:sz w:val="32"/>
          <w:szCs w:val="32"/>
          <w:lang w:val="en-US" w:eastAsia="zh-CN"/>
        </w:rPr>
        <w:t>申报和组建，说明了申报工程中心的条件、命名规格、提交资料以及组建程序；第三章运行与管理。说明了工程中心的分类管理、重大事项制度、管理制度、知识产权管理以及内部经费管理等；第四章监督评价。提出中心动态管理机制以及监督考核机制；第五章附件。说明本办法由市科技局负责解释以及文件实施日期，载明有效期为5年。</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分析了当前广东省和湛江市产业背景</w:t>
      </w:r>
      <w:r>
        <w:rPr>
          <w:rFonts w:hint="eastAsia" w:ascii="仿宋_GB2312" w:hAnsi="仿宋_GB2312" w:eastAsia="仿宋_GB2312" w:cs="仿宋_GB2312"/>
          <w:sz w:val="32"/>
          <w:szCs w:val="32"/>
        </w:rPr>
        <w:t>；第二</w:t>
      </w:r>
      <w:r>
        <w:rPr>
          <w:rFonts w:hint="eastAsia" w:ascii="仿宋_GB2312" w:hAnsi="仿宋_GB2312" w:eastAsia="仿宋_GB2312" w:cs="仿宋_GB2312"/>
          <w:sz w:val="32"/>
          <w:szCs w:val="32"/>
          <w:lang w:val="en-US" w:eastAsia="zh-CN"/>
        </w:rPr>
        <w:t>部分分析了发展基础。对广东省</w:t>
      </w:r>
      <w:r>
        <w:rPr>
          <w:rFonts w:hint="eastAsia" w:ascii="仿宋_GB2312" w:hAnsi="仿宋_GB2312" w:eastAsia="仿宋_GB2312" w:cs="仿宋_GB2312"/>
          <w:sz w:val="32"/>
          <w:szCs w:val="32"/>
        </w:rPr>
        <w:t>“双十”产业总体情况</w:t>
      </w:r>
      <w:r>
        <w:rPr>
          <w:rFonts w:hint="eastAsia"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rPr>
        <w:t>湛江“双十”产业与科技基础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存在问题</w:t>
      </w:r>
      <w:r>
        <w:rPr>
          <w:rFonts w:hint="eastAsia" w:ascii="仿宋_GB2312" w:hAnsi="仿宋_GB2312" w:eastAsia="仿宋_GB2312" w:cs="仿宋_GB2312"/>
          <w:sz w:val="32"/>
          <w:szCs w:val="32"/>
          <w:lang w:val="en-US" w:eastAsia="zh-CN"/>
        </w:rPr>
        <w:t>进行分析；第三部分明确了</w:t>
      </w:r>
      <w:r>
        <w:rPr>
          <w:rFonts w:hint="eastAsia" w:ascii="仿宋_GB2312" w:hAnsi="仿宋_GB2312" w:eastAsia="仿宋_GB2312" w:cs="仿宋_GB2312"/>
          <w:sz w:val="32"/>
          <w:szCs w:val="32"/>
        </w:rPr>
        <w:t>思路与原则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明确了</w:t>
      </w:r>
      <w:r>
        <w:rPr>
          <w:rFonts w:hint="eastAsia" w:ascii="仿宋_GB2312" w:hAnsi="仿宋_GB2312" w:eastAsia="仿宋_GB2312" w:cs="仿宋_GB2312"/>
          <w:sz w:val="32"/>
          <w:szCs w:val="32"/>
        </w:rPr>
        <w:t>基本思路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基本原则</w:t>
      </w:r>
      <w:r>
        <w:rPr>
          <w:rFonts w:hint="eastAsia"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rPr>
        <w:t>发展目标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第四部分提出了</w:t>
      </w:r>
      <w:r>
        <w:rPr>
          <w:rFonts w:hint="eastAsia" w:ascii="仿宋_GB2312" w:hAnsi="仿宋_GB2312" w:eastAsia="仿宋_GB2312" w:cs="仿宋_GB2312"/>
          <w:sz w:val="32"/>
          <w:szCs w:val="32"/>
        </w:rPr>
        <w:t>科技攻关</w:t>
      </w:r>
      <w:r>
        <w:rPr>
          <w:rFonts w:hint="eastAsia" w:ascii="仿宋_GB2312" w:hAnsi="仿宋_GB2312" w:eastAsia="仿宋_GB2312" w:cs="仿宋_GB2312"/>
          <w:sz w:val="32"/>
          <w:szCs w:val="32"/>
          <w:lang w:val="en-US" w:eastAsia="zh-CN"/>
        </w:rPr>
        <w:t>方向，主要从</w:t>
      </w:r>
      <w:r>
        <w:rPr>
          <w:rFonts w:hint="eastAsia" w:ascii="仿宋_GB2312" w:hAnsi="仿宋_GB2312" w:eastAsia="仿宋_GB2312" w:cs="仿宋_GB2312"/>
          <w:sz w:val="32"/>
          <w:szCs w:val="32"/>
        </w:rPr>
        <w:t>加强“双十”产业基础技术研发</w:t>
      </w:r>
      <w:r>
        <w:rPr>
          <w:rFonts w:hint="eastAsia" w:ascii="仿宋_GB2312" w:hAnsi="仿宋_GB2312" w:eastAsia="仿宋_GB2312" w:cs="仿宋_GB2312"/>
          <w:sz w:val="32"/>
          <w:szCs w:val="32"/>
          <w:lang w:val="en-US" w:eastAsia="zh-CN"/>
        </w:rPr>
        <w:t>以及</w:t>
      </w:r>
      <w:r>
        <w:rPr>
          <w:rFonts w:hint="eastAsia" w:ascii="仿宋_GB2312" w:hAnsi="仿宋_GB2312" w:eastAsia="仿宋_GB2312" w:cs="仿宋_GB2312"/>
          <w:sz w:val="32"/>
          <w:szCs w:val="32"/>
        </w:rPr>
        <w:t>开展“双十”产业前沿技术攻关</w:t>
      </w:r>
      <w:r>
        <w:rPr>
          <w:rFonts w:hint="eastAsia" w:ascii="仿宋_GB2312" w:hAnsi="仿宋_GB2312" w:eastAsia="仿宋_GB2312" w:cs="仿宋_GB2312"/>
          <w:sz w:val="32"/>
          <w:szCs w:val="32"/>
          <w:lang w:val="en-US" w:eastAsia="zh-CN"/>
        </w:rPr>
        <w:t>确定两大方向；第四部分</w:t>
      </w:r>
      <w:r>
        <w:rPr>
          <w:rFonts w:hint="eastAsia" w:ascii="仿宋_GB2312" w:hAnsi="仿宋_GB2312" w:cs="仿宋_GB2312"/>
          <w:sz w:val="32"/>
          <w:szCs w:val="32"/>
          <w:lang w:val="en-US" w:eastAsia="zh-CN"/>
        </w:rPr>
        <w:t>提出</w:t>
      </w:r>
      <w:r>
        <w:rPr>
          <w:rFonts w:hint="eastAsia" w:ascii="仿宋_GB2312" w:hAnsi="仿宋_GB2312" w:eastAsia="仿宋_GB2312" w:cs="仿宋_GB2312"/>
          <w:sz w:val="32"/>
          <w:szCs w:val="32"/>
          <w:lang w:val="en-US" w:eastAsia="zh-CN"/>
        </w:rPr>
        <w:t>构建</w:t>
      </w:r>
      <w:r>
        <w:rPr>
          <w:rFonts w:hint="eastAsia" w:ascii="仿宋_GB2312" w:hAnsi="仿宋_GB2312" w:eastAsia="仿宋_GB2312" w:cs="仿宋_GB2312"/>
          <w:sz w:val="32"/>
          <w:szCs w:val="32"/>
        </w:rPr>
        <w:t>科技支撑</w:t>
      </w:r>
      <w:r>
        <w:rPr>
          <w:rFonts w:hint="eastAsia" w:ascii="仿宋_GB2312" w:hAnsi="仿宋_GB2312" w:eastAsia="仿宋_GB2312" w:cs="仿宋_GB2312"/>
          <w:sz w:val="32"/>
          <w:szCs w:val="32"/>
          <w:lang w:val="en-US" w:eastAsia="zh-CN"/>
        </w:rPr>
        <w:t>体系。主要从</w:t>
      </w:r>
      <w:r>
        <w:rPr>
          <w:rFonts w:hint="eastAsia" w:ascii="仿宋_GB2312" w:hAnsi="仿宋_GB2312" w:eastAsia="仿宋_GB2312" w:cs="仿宋_GB2312"/>
          <w:sz w:val="32"/>
          <w:szCs w:val="32"/>
        </w:rPr>
        <w:t>强化企业创新主体地位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优化创建科技创新平台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培育产业科技人才队伍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大力促进科技成果转化</w:t>
      </w:r>
      <w:r>
        <w:rPr>
          <w:rFonts w:hint="eastAsia" w:ascii="仿宋_GB2312" w:hAnsi="仿宋_GB2312" w:eastAsia="仿宋_GB2312" w:cs="仿宋_GB2312"/>
          <w:sz w:val="32"/>
          <w:szCs w:val="32"/>
          <w:lang w:val="en-US" w:eastAsia="zh-CN"/>
        </w:rPr>
        <w:t>等四个方面构建</w:t>
      </w:r>
      <w:r>
        <w:rPr>
          <w:rFonts w:hint="eastAsia" w:ascii="仿宋_GB2312" w:hAnsi="仿宋_GB2312" w:eastAsia="仿宋_GB2312" w:cs="仿宋_GB2312"/>
          <w:sz w:val="32"/>
          <w:szCs w:val="32"/>
        </w:rPr>
        <w:t>湛江科技</w:t>
      </w:r>
      <w:r>
        <w:rPr>
          <w:rFonts w:hint="eastAsia" w:ascii="仿宋_GB2312" w:hAnsi="仿宋_GB2312" w:eastAsia="仿宋_GB2312" w:cs="仿宋_GB2312"/>
          <w:sz w:val="32"/>
          <w:szCs w:val="32"/>
          <w:lang w:val="en-US" w:eastAsia="zh-CN"/>
        </w:rPr>
        <w:t>支撑产业</w:t>
      </w:r>
      <w:r>
        <w:rPr>
          <w:rFonts w:hint="eastAsia" w:ascii="仿宋_GB2312" w:hAnsi="仿宋_GB2312" w:eastAsia="仿宋_GB2312" w:cs="仿宋_GB2312"/>
          <w:sz w:val="32"/>
          <w:szCs w:val="32"/>
        </w:rPr>
        <w:t>发展的体系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第五部分</w:t>
      </w:r>
      <w:r>
        <w:rPr>
          <w:rFonts w:hint="eastAsia" w:ascii="仿宋_GB2312" w:hAnsi="仿宋_GB2312" w:cs="仿宋_GB2312"/>
          <w:sz w:val="32"/>
          <w:szCs w:val="32"/>
          <w:lang w:val="en-US" w:eastAsia="zh-CN"/>
        </w:rPr>
        <w:t>落实</w:t>
      </w:r>
      <w:r>
        <w:rPr>
          <w:rFonts w:hint="eastAsia" w:ascii="仿宋_GB2312" w:hAnsi="仿宋_GB2312" w:eastAsia="仿宋_GB2312" w:cs="仿宋_GB2312"/>
          <w:sz w:val="32"/>
          <w:szCs w:val="32"/>
          <w:lang w:val="en-US" w:eastAsia="zh-CN"/>
        </w:rPr>
        <w:t>保障措施。从</w:t>
      </w:r>
      <w:r>
        <w:rPr>
          <w:rFonts w:hint="eastAsia" w:ascii="仿宋_GB2312" w:hAnsi="仿宋_GB2312" w:eastAsia="仿宋_GB2312" w:cs="仿宋_GB2312"/>
          <w:sz w:val="32"/>
          <w:szCs w:val="32"/>
        </w:rPr>
        <w:t>切实提高政治站位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强化组织协调领导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健全工作运行机制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保障科研经费投入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深化科研机制体制改革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强化高校科研院所支撑</w:t>
      </w:r>
      <w:r>
        <w:rPr>
          <w:rFonts w:hint="eastAsia" w:ascii="仿宋_GB2312" w:hAnsi="仿宋_GB2312" w:eastAsia="仿宋_GB2312" w:cs="仿宋_GB2312"/>
          <w:sz w:val="32"/>
          <w:szCs w:val="32"/>
          <w:lang w:val="en-US" w:eastAsia="zh-CN"/>
        </w:rPr>
        <w:t>等六个方面落实保障。第七部分说明了科技支撑产业发展的计划，包括</w:t>
      </w:r>
      <w:r>
        <w:rPr>
          <w:rFonts w:hint="eastAsia" w:ascii="仿宋_GB2312" w:hAnsi="仿宋_GB2312" w:eastAsia="仿宋_GB2312" w:cs="仿宋_GB2312"/>
          <w:sz w:val="32"/>
          <w:szCs w:val="32"/>
        </w:rPr>
        <w:t>重大技术攻关计划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引育高层次创新人才和团队计划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高新技术企业培育计划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转移转化重大科技成果行动计划</w:t>
      </w:r>
      <w:r>
        <w:rPr>
          <w:rFonts w:hint="eastAsia" w:ascii="仿宋_GB2312" w:hAnsi="仿宋_GB2312" w:eastAsia="仿宋_GB2312" w:cs="仿宋_GB2312"/>
          <w:sz w:val="32"/>
          <w:szCs w:val="32"/>
          <w:lang w:eastAsia="zh-CN"/>
        </w:rPr>
        <w:t>。</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312B4D"/>
    <w:rsid w:val="0C3E2F0D"/>
    <w:rsid w:val="44312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ind w:firstLine="420"/>
    </w:pPr>
    <w:rPr>
      <w:szCs w:val="20"/>
    </w:rPr>
  </w:style>
  <w:style w:type="paragraph" w:styleId="3">
    <w:name w:val="Body Text Indent"/>
    <w:basedOn w:val="1"/>
    <w:semiHidden/>
    <w:unhideWhenUsed/>
    <w:qFormat/>
    <w:uiPriority w:val="99"/>
    <w:pPr>
      <w:spacing w:after="120"/>
      <w:ind w:left="420" w:leftChars="200"/>
    </w:pPr>
  </w:style>
  <w:style w:type="paragraph" w:styleId="5">
    <w:name w:val="footer"/>
    <w:basedOn w:val="1"/>
    <w:qFormat/>
    <w:uiPriority w:val="99"/>
    <w:pPr>
      <w:tabs>
        <w:tab w:val="center" w:pos="4153"/>
        <w:tab w:val="right" w:pos="8306"/>
      </w:tabs>
      <w:snapToGrid w:val="0"/>
      <w:jc w:val="left"/>
    </w:pPr>
    <w:rPr>
      <w:kern w:val="0"/>
      <w:sz w:val="18"/>
      <w:szCs w:val="18"/>
    </w:rPr>
  </w:style>
  <w:style w:type="paragraph" w:styleId="6">
    <w:name w:val="Normal (Web)"/>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styleId="9">
    <w:name w:val="FollowedHyperlink"/>
    <w:basedOn w:val="8"/>
    <w:uiPriority w:val="0"/>
    <w:rPr>
      <w:color w:val="333333"/>
      <w:u w:val="none"/>
    </w:rPr>
  </w:style>
  <w:style w:type="character" w:styleId="10">
    <w:name w:val="Hyperlink"/>
    <w:basedOn w:val="8"/>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2021-10-14T02:17:00Z</dcterms:created>
  <dc:creator>宁宁柒</dc:creator>
  <cp:lastModifiedBy>宁宁柒</cp:lastModifiedBy>
  <dcterms:modified xsi:type="dcterms:W3CDTF">2021-10-14T07:43:28Z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3E7E38CBD5D14CDEA322DE6E093754D0</vt:lpwstr>
  </property>
</Properties>
</file>